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40101">
      <w:pPr>
        <w:widowControl/>
        <w:shd w:val="clear" w:color="auto" w:fill="FFFFFF"/>
        <w:spacing w:line="560" w:lineRule="exact"/>
        <w:jc w:val="center"/>
        <w:rPr>
          <w:rFonts w:hint="eastAsia" w:ascii="方正小标宋简体" w:hAnsi="宋体" w:eastAsia="方正小标宋简体" w:cs="宋体"/>
          <w:bCs/>
          <w:color w:val="auto"/>
          <w:kern w:val="0"/>
          <w:sz w:val="44"/>
          <w:szCs w:val="44"/>
          <w:lang w:eastAsia="zh-CN"/>
        </w:rPr>
      </w:pPr>
      <w:r>
        <w:rPr>
          <w:rFonts w:hint="eastAsia" w:ascii="方正小标宋简体" w:hAnsi="宋体" w:eastAsia="方正小标宋简体" w:cs="宋体"/>
          <w:bCs/>
          <w:color w:val="auto"/>
          <w:kern w:val="0"/>
          <w:sz w:val="44"/>
          <w:szCs w:val="44"/>
        </w:rPr>
        <w:t>建安区财政性资金投资项目管理办法</w:t>
      </w:r>
      <w:r>
        <w:rPr>
          <w:rFonts w:hint="eastAsia" w:ascii="方正小标宋简体" w:hAnsi="宋体" w:eastAsia="方正小标宋简体" w:cs="宋体"/>
          <w:bCs/>
          <w:color w:val="auto"/>
          <w:kern w:val="0"/>
          <w:sz w:val="44"/>
          <w:szCs w:val="44"/>
          <w:lang w:eastAsia="zh-CN"/>
        </w:rPr>
        <w:t>（试行）</w:t>
      </w:r>
    </w:p>
    <w:p w14:paraId="544F00EC">
      <w:pPr>
        <w:widowControl/>
        <w:shd w:val="clear" w:color="auto" w:fill="FFFFFF"/>
        <w:spacing w:line="560" w:lineRule="exact"/>
        <w:jc w:val="center"/>
        <w:rPr>
          <w:rFonts w:hint="eastAsia" w:ascii="方正小标宋简体" w:hAnsi="宋体" w:eastAsia="方正小标宋简体" w:cs="宋体"/>
          <w:bCs/>
          <w:color w:val="auto"/>
          <w:kern w:val="0"/>
          <w:sz w:val="44"/>
          <w:szCs w:val="44"/>
          <w:lang w:eastAsia="zh-CN"/>
        </w:rPr>
      </w:pPr>
    </w:p>
    <w:p w14:paraId="65AE80CE">
      <w:pPr>
        <w:widowControl/>
        <w:shd w:val="clear" w:color="auto" w:fill="FFFFFF"/>
        <w:spacing w:line="560" w:lineRule="exact"/>
        <w:jc w:val="center"/>
        <w:rPr>
          <w:rFonts w:hint="eastAsia" w:ascii="方正小标宋简体" w:hAnsi="宋体" w:eastAsia="方正小标宋简体" w:cs="宋体"/>
          <w:bCs/>
          <w:color w:val="auto"/>
          <w:kern w:val="0"/>
          <w:sz w:val="44"/>
          <w:szCs w:val="44"/>
          <w:lang w:eastAsia="zh-CN"/>
        </w:rPr>
      </w:pPr>
      <w:r>
        <w:rPr>
          <w:rFonts w:hint="eastAsia" w:ascii="方正小标宋简体" w:hAnsi="宋体" w:eastAsia="方正小标宋简体" w:cs="宋体"/>
          <w:bCs/>
          <w:color w:val="auto"/>
          <w:kern w:val="0"/>
          <w:sz w:val="44"/>
          <w:szCs w:val="44"/>
          <w:lang w:eastAsia="zh-CN"/>
        </w:rPr>
        <w:t>（</w:t>
      </w:r>
      <w:r>
        <w:rPr>
          <w:rFonts w:hint="eastAsia" w:ascii="方正小标宋简体" w:hAnsi="宋体" w:eastAsia="方正小标宋简体" w:cs="宋体"/>
          <w:bCs/>
          <w:color w:val="auto"/>
          <w:kern w:val="0"/>
          <w:sz w:val="44"/>
          <w:szCs w:val="44"/>
          <w:lang w:val="en-US" w:eastAsia="zh-CN"/>
        </w:rPr>
        <w:t>征求意见稿</w:t>
      </w:r>
      <w:r>
        <w:rPr>
          <w:rFonts w:hint="eastAsia" w:ascii="方正小标宋简体" w:hAnsi="宋体" w:eastAsia="方正小标宋简体" w:cs="宋体"/>
          <w:bCs/>
          <w:color w:val="auto"/>
          <w:kern w:val="0"/>
          <w:sz w:val="44"/>
          <w:szCs w:val="44"/>
          <w:lang w:eastAsia="zh-CN"/>
        </w:rPr>
        <w:t>）</w:t>
      </w:r>
    </w:p>
    <w:p w14:paraId="3E39DB00">
      <w:pPr>
        <w:widowControl/>
        <w:shd w:val="clear" w:color="auto" w:fill="FFFFFF"/>
        <w:spacing w:after="156" w:afterLines="50" w:line="560" w:lineRule="exact"/>
        <w:jc w:val="center"/>
        <w:rPr>
          <w:rFonts w:hint="eastAsia" w:ascii="黑体" w:hAnsi="黑体" w:eastAsia="黑体" w:cs="宋体"/>
          <w:color w:val="auto"/>
          <w:kern w:val="0"/>
          <w:sz w:val="32"/>
          <w:szCs w:val="32"/>
        </w:rPr>
      </w:pPr>
    </w:p>
    <w:p w14:paraId="58826525">
      <w:pPr>
        <w:widowControl/>
        <w:shd w:val="clear" w:color="auto" w:fill="FFFFFF"/>
        <w:spacing w:after="156" w:afterLines="50" w:line="560" w:lineRule="exact"/>
        <w:jc w:val="center"/>
        <w:rPr>
          <w:rFonts w:hint="eastAsia" w:ascii="宋体" w:hAnsi="宋体" w:cs="宋体"/>
          <w:color w:val="auto"/>
          <w:kern w:val="0"/>
          <w:sz w:val="32"/>
          <w:szCs w:val="32"/>
        </w:rPr>
      </w:pPr>
      <w:r>
        <w:rPr>
          <w:rFonts w:hint="eastAsia" w:ascii="黑体" w:hAnsi="黑体" w:eastAsia="黑体" w:cs="宋体"/>
          <w:color w:val="auto"/>
          <w:kern w:val="0"/>
          <w:sz w:val="32"/>
          <w:szCs w:val="32"/>
        </w:rPr>
        <w:t>第一章</w:t>
      </w:r>
      <w:r>
        <w:rPr>
          <w:rFonts w:hint="eastAsia" w:ascii="宋体" w:hAnsi="宋体" w:eastAsia="黑体" w:cs="宋体"/>
          <w:color w:val="auto"/>
          <w:kern w:val="0"/>
          <w:sz w:val="32"/>
          <w:szCs w:val="32"/>
        </w:rPr>
        <w:tab/>
      </w:r>
      <w:r>
        <w:rPr>
          <w:rFonts w:hint="eastAsia" w:ascii="黑体" w:hAnsi="黑体" w:eastAsia="黑体" w:cs="宋体"/>
          <w:color w:val="auto"/>
          <w:kern w:val="0"/>
          <w:sz w:val="32"/>
          <w:szCs w:val="32"/>
        </w:rPr>
        <w:t>总则</w:t>
      </w:r>
    </w:p>
    <w:p w14:paraId="624551CE">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 xml:space="preserve">第一条 </w:t>
      </w:r>
      <w:r>
        <w:rPr>
          <w:rFonts w:hint="eastAsia" w:ascii="仿宋_GB2312" w:hAnsi="仿宋" w:eastAsia="仿宋_GB2312" w:cs="宋体"/>
          <w:color w:val="auto"/>
          <w:kern w:val="0"/>
          <w:sz w:val="32"/>
          <w:szCs w:val="32"/>
        </w:rPr>
        <w:t>为加强财政性资金投资项目管理，建立“决策科学、依法合规、实施规范、公开透明、权责明晰”运行机制，严格决策程序，规范投资行为，提高资金效益，根据《中华人民共和国招标投标法》《政府投资条例》（国务院令第712号）、《河南省政府投资管理办法》（省政府令第196号）、《许昌市财政性资金投资项目管理办法》（许政</w:t>
      </w:r>
      <w:r>
        <w:rPr>
          <w:rFonts w:hint="eastAsia" w:ascii="仿宋_GB2312" w:hAnsi="仿宋" w:eastAsia="仿宋" w:cs="宋体"/>
          <w:color w:val="auto"/>
          <w:kern w:val="0"/>
          <w:sz w:val="32"/>
          <w:szCs w:val="32"/>
        </w:rPr>
        <w:t>﹝</w:t>
      </w:r>
      <w:r>
        <w:rPr>
          <w:rFonts w:hint="eastAsia" w:ascii="仿宋_GB2312" w:hAnsi="仿宋" w:eastAsia="仿宋_GB2312" w:cs="宋体"/>
          <w:color w:val="auto"/>
          <w:kern w:val="0"/>
          <w:sz w:val="32"/>
          <w:szCs w:val="32"/>
        </w:rPr>
        <w:t>2025</w:t>
      </w:r>
      <w:r>
        <w:rPr>
          <w:rFonts w:hint="eastAsia" w:ascii="仿宋_GB2312" w:hAnsi="仿宋" w:eastAsia="仿宋" w:cs="宋体"/>
          <w:color w:val="auto"/>
          <w:kern w:val="0"/>
          <w:sz w:val="32"/>
          <w:szCs w:val="32"/>
        </w:rPr>
        <w:t>﹞</w:t>
      </w:r>
      <w:r>
        <w:rPr>
          <w:rFonts w:hint="eastAsia" w:ascii="仿宋_GB2312" w:hAnsi="仿宋" w:eastAsia="仿宋_GB2312" w:cs="宋体"/>
          <w:color w:val="auto"/>
          <w:kern w:val="0"/>
          <w:sz w:val="32"/>
          <w:szCs w:val="32"/>
        </w:rPr>
        <w:t>15号）等有关规定，结合我区实际，制定本办法。</w:t>
      </w:r>
    </w:p>
    <w:p w14:paraId="3F098398">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 xml:space="preserve">第二条 </w:t>
      </w:r>
      <w:r>
        <w:rPr>
          <w:rFonts w:hint="eastAsia" w:ascii="仿宋_GB2312" w:hAnsi="仿宋" w:eastAsia="仿宋_GB2312" w:cs="宋体"/>
          <w:color w:val="auto"/>
          <w:kern w:val="0"/>
          <w:sz w:val="32"/>
          <w:szCs w:val="32"/>
        </w:rPr>
        <w:t>本办法所称财政性资金投资项目，系指全区项目单位或区属国有投资公司运用区级预算资金、上级专项资金、地方政府债券等财政性资金，通过直接投资、资本金注入等方式实施的基本建设项目、政务信息化项目、设备购置及政务服务类项目。</w:t>
      </w:r>
    </w:p>
    <w:p w14:paraId="1B1AC6C0">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lang w:eastAsia="zh-CN"/>
        </w:rPr>
        <w:t>（一）</w:t>
      </w:r>
      <w:r>
        <w:rPr>
          <w:rFonts w:hint="eastAsia" w:ascii="仿宋_GB2312" w:hAnsi="仿宋" w:eastAsia="仿宋_GB2312" w:cs="宋体"/>
          <w:color w:val="auto"/>
          <w:kern w:val="0"/>
          <w:sz w:val="32"/>
          <w:szCs w:val="32"/>
        </w:rPr>
        <w:t>基本建设项目。指使用财政性资金直接投资建设，能获得相应资产使用权的项目。包括房屋建筑、市政设施、交通公路、园林绿化、城市供排水等各类固定资产、公共基础设施及其他长期资产的新建、改建、扩建、装修改造等。</w:t>
      </w:r>
    </w:p>
    <w:p w14:paraId="08E42345">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二）政务信息化项目。指使用财政性资金直接投资建设，或采用资本金注入、政府购买服务等方式实施的，用于支撑区级政务部门履行管理和服务职能的信息系统，包括服务器、操作系统、数据库、防火墙等配套软硬件，以及云资源、网络、运维等相关服务。</w:t>
      </w:r>
    </w:p>
    <w:p w14:paraId="3EFB2A4E">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三）设备购置和政务服务类项目。指不涉及基本建设活动，为履行公共服务职能采用招标（采购）等方式获得对应资产使用权或服务的项目。包括但不限于单纯的设备购置、办公家具购置、专用材料购置、专用工具和仪器购置；基本建设项目实施前必要的环境影响评价、测绘等服务，以及规划编制、政府购买服务项目等。</w:t>
      </w:r>
    </w:p>
    <w:p w14:paraId="4ECFFCF3">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 xml:space="preserve">第三条 </w:t>
      </w:r>
      <w:r>
        <w:rPr>
          <w:rFonts w:hint="eastAsia" w:ascii="仿宋_GB2312" w:hAnsi="仿宋" w:eastAsia="仿宋_GB2312" w:cs="宋体"/>
          <w:color w:val="auto"/>
          <w:kern w:val="0"/>
          <w:sz w:val="32"/>
          <w:szCs w:val="32"/>
        </w:rPr>
        <w:t>财政性资金投资项目按照“科学决策、依法合规、规范实施、公开透明、权责明晰”的原则决策实施和监督管理。</w:t>
      </w:r>
    </w:p>
    <w:p w14:paraId="47A809CD">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（一）科学决策。投资项目应坚持科学决策、量力而行，落实党政机关习惯过“紧日子”要求，项目谋划应与经济社会发展水平和财政收支状况相适应。项目均应纳入投资计划，经区政府批准后实施。</w:t>
      </w:r>
    </w:p>
    <w:p w14:paraId="5463EF7E">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（二）依法合规。投资项目应将依法合规作为根本准则和底线要求，将法治思维贯穿项目全生命周期管理，以刚性制度约束保障项目规范运作，并严格遵循国家工程建设强制性规范、政府债务管理等各项规定。</w:t>
      </w:r>
    </w:p>
    <w:p w14:paraId="46930EA5">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（三）规范实施。投资项目应遵循“先决策后审批、先审批后开工”原则，完善立项审批、预算评审、招标投标、施工验收等各环节运行程序，规范组织实施。</w:t>
      </w:r>
    </w:p>
    <w:p w14:paraId="1FCCAC12">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四）公开透明。投资项目应按照“全过程投资管控、全过程公开透明、全过程审计跟踪、全过程纪委监委监督”的要求，加强项目实施全流程的信息公开，保障项目依法合规、严控成本、廉洁透明、优质高效实施。</w:t>
      </w:r>
    </w:p>
    <w:p w14:paraId="6E1D19BE">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（五）权责明晰。投资项目应压实各责任单位在项目决策、审批、实施、验收等全生命周期各环节中的主体和监管责任，构建依法依规、全面覆盖、突出重点、协同联动、惩防并举的闭环式监督管理格局。</w:t>
      </w:r>
    </w:p>
    <w:p w14:paraId="17EE1C5A">
      <w:pPr>
        <w:widowControl/>
        <w:shd w:val="clear" w:color="auto" w:fill="FFFFFF"/>
        <w:spacing w:after="156" w:afterLines="50" w:line="560" w:lineRule="exact"/>
        <w:jc w:val="center"/>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第二章</w:t>
      </w:r>
      <w:r>
        <w:rPr>
          <w:rFonts w:hint="eastAsia" w:ascii="黑体" w:hAnsi="黑体" w:eastAsia="黑体" w:cs="宋体"/>
          <w:color w:val="auto"/>
          <w:kern w:val="0"/>
          <w:sz w:val="32"/>
          <w:szCs w:val="32"/>
        </w:rPr>
        <w:tab/>
      </w:r>
      <w:r>
        <w:rPr>
          <w:rFonts w:hint="eastAsia" w:ascii="黑体" w:hAnsi="黑体" w:eastAsia="黑体" w:cs="宋体"/>
          <w:color w:val="auto"/>
          <w:kern w:val="0"/>
          <w:sz w:val="32"/>
          <w:szCs w:val="32"/>
        </w:rPr>
        <w:t>政府投资计划</w:t>
      </w:r>
    </w:p>
    <w:p w14:paraId="3AD26DF5">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 xml:space="preserve">第四条 </w:t>
      </w:r>
      <w:r>
        <w:rPr>
          <w:rFonts w:hint="eastAsia" w:ascii="仿宋_GB2312" w:hAnsi="仿宋" w:eastAsia="仿宋_GB2312" w:cs="宋体"/>
          <w:color w:val="auto"/>
          <w:kern w:val="0"/>
          <w:sz w:val="32"/>
          <w:szCs w:val="32"/>
        </w:rPr>
        <w:t>区</w:t>
      </w:r>
      <w:r>
        <w:rPr>
          <w:rFonts w:hint="eastAsia" w:ascii="仿宋_GB2312" w:hAnsi="仿宋" w:eastAsia="仿宋_GB2312" w:cs="宋体"/>
          <w:color w:val="auto"/>
          <w:kern w:val="0"/>
          <w:sz w:val="32"/>
          <w:szCs w:val="32"/>
          <w:lang w:val="en-US" w:eastAsia="zh-CN"/>
        </w:rPr>
        <w:t>发改委</w:t>
      </w:r>
      <w:r>
        <w:rPr>
          <w:rFonts w:hint="eastAsia" w:ascii="仿宋_GB2312" w:hAnsi="仿宋" w:eastAsia="仿宋_GB2312" w:cs="宋体"/>
          <w:color w:val="auto"/>
          <w:kern w:val="0"/>
          <w:sz w:val="32"/>
          <w:szCs w:val="32"/>
        </w:rPr>
        <w:t>、区</w:t>
      </w:r>
      <w:r>
        <w:rPr>
          <w:rFonts w:hint="eastAsia" w:ascii="仿宋_GB2312" w:hAnsi="仿宋" w:eastAsia="仿宋_GB2312" w:cs="宋体"/>
          <w:color w:val="auto"/>
          <w:kern w:val="0"/>
          <w:sz w:val="32"/>
          <w:szCs w:val="32"/>
          <w:lang w:val="en-US" w:eastAsia="zh-CN"/>
        </w:rPr>
        <w:t>审信局</w:t>
      </w:r>
      <w:r>
        <w:rPr>
          <w:rFonts w:hint="eastAsia" w:ascii="仿宋_GB2312" w:hAnsi="仿宋" w:eastAsia="仿宋_GB2312" w:cs="宋体"/>
          <w:color w:val="auto"/>
          <w:kern w:val="0"/>
          <w:sz w:val="32"/>
          <w:szCs w:val="32"/>
        </w:rPr>
        <w:t>、区财政局在各单位项目申报的基础上，结合全区发展总体要求和财政承受能力，梳理汇总各单位的年度项目需求，经区政府批准后实施。</w:t>
      </w:r>
    </w:p>
    <w:p w14:paraId="2F4C4BC8">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 xml:space="preserve">第五条 </w:t>
      </w:r>
      <w:r>
        <w:rPr>
          <w:rFonts w:hint="eastAsia" w:ascii="仿宋_GB2312" w:hAnsi="仿宋" w:eastAsia="仿宋_GB2312" w:cs="宋体"/>
          <w:color w:val="auto"/>
          <w:kern w:val="0"/>
          <w:sz w:val="32"/>
          <w:szCs w:val="32"/>
        </w:rPr>
        <w:t>各类领导小组等议事协调机构和推进会等会议安排的项目，在形成文件、决议或纪要前，项目主管部门须提请区政府审议。</w:t>
      </w:r>
    </w:p>
    <w:p w14:paraId="7FBB1C3F">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（一）基本建设项目。区</w:t>
      </w:r>
      <w:r>
        <w:rPr>
          <w:rFonts w:hint="eastAsia" w:ascii="仿宋_GB2312" w:hAnsi="仿宋" w:eastAsia="仿宋_GB2312" w:cs="宋体"/>
          <w:color w:val="auto"/>
          <w:kern w:val="0"/>
          <w:sz w:val="32"/>
          <w:szCs w:val="32"/>
          <w:lang w:val="en-US" w:eastAsia="zh-CN"/>
        </w:rPr>
        <w:t>发改委</w:t>
      </w:r>
      <w:r>
        <w:rPr>
          <w:rFonts w:hint="eastAsia" w:ascii="仿宋_GB2312" w:hAnsi="仿宋" w:eastAsia="仿宋_GB2312" w:cs="宋体"/>
          <w:color w:val="auto"/>
          <w:kern w:val="0"/>
          <w:sz w:val="32"/>
          <w:szCs w:val="32"/>
        </w:rPr>
        <w:t>每年10月起梳理汇总各单位（含区属国有投资公司）基本建设项目需求，会同财政等部门论证后形成次年度投资计划，报区政府常务会议研究审议。</w:t>
      </w:r>
    </w:p>
    <w:p w14:paraId="10702ADD">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（二）政务信息化项目。区</w:t>
      </w:r>
      <w:r>
        <w:rPr>
          <w:rFonts w:hint="eastAsia" w:ascii="仿宋_GB2312" w:hAnsi="仿宋" w:eastAsia="仿宋_GB2312" w:cs="宋体"/>
          <w:color w:val="auto"/>
          <w:kern w:val="0"/>
          <w:sz w:val="32"/>
          <w:szCs w:val="32"/>
          <w:lang w:val="en-US" w:eastAsia="zh-CN"/>
        </w:rPr>
        <w:t>审信局</w:t>
      </w:r>
      <w:r>
        <w:rPr>
          <w:rFonts w:hint="eastAsia" w:ascii="仿宋_GB2312" w:hAnsi="仿宋" w:eastAsia="仿宋_GB2312" w:cs="宋体"/>
          <w:color w:val="auto"/>
          <w:kern w:val="0"/>
          <w:sz w:val="32"/>
          <w:szCs w:val="32"/>
        </w:rPr>
        <w:t>每年10月起梳理汇总各单位信息化项目清单，会同</w:t>
      </w:r>
      <w:r>
        <w:rPr>
          <w:rFonts w:hint="eastAsia" w:ascii="仿宋_GB2312" w:hAnsi="仿宋" w:eastAsia="仿宋_GB2312" w:cs="宋体"/>
          <w:color w:val="auto"/>
          <w:kern w:val="0"/>
          <w:sz w:val="32"/>
          <w:szCs w:val="32"/>
          <w:lang w:val="en-US" w:eastAsia="zh-CN"/>
        </w:rPr>
        <w:t>发改</w:t>
      </w:r>
      <w:r>
        <w:rPr>
          <w:rFonts w:hint="eastAsia" w:ascii="仿宋_GB2312" w:hAnsi="仿宋" w:eastAsia="仿宋_GB2312" w:cs="宋体"/>
          <w:color w:val="auto"/>
          <w:kern w:val="0"/>
          <w:sz w:val="32"/>
          <w:szCs w:val="32"/>
        </w:rPr>
        <w:t>、财政等部门论证后形成次年度信息化项目清单，报区政府常务会议研究审议。</w:t>
      </w:r>
    </w:p>
    <w:p w14:paraId="7DD2CAF0">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三）设备购置及政务服务类项目。区财政局每年10月起编制财政预算（草案）时，梳理汇总各单位资产购置和政务服务类项目需求，会同相关部门研究论证后，与次年度财政预算（草案）一并报区政府常务会议研究审议。</w:t>
      </w:r>
    </w:p>
    <w:p w14:paraId="775B0AED">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 xml:space="preserve">第六条 </w:t>
      </w:r>
      <w:r>
        <w:rPr>
          <w:rFonts w:hint="eastAsia" w:ascii="仿宋_GB2312" w:hAnsi="仿宋" w:eastAsia="仿宋_GB2312" w:cs="宋体"/>
          <w:color w:val="auto"/>
          <w:kern w:val="0"/>
          <w:sz w:val="32"/>
          <w:szCs w:val="32"/>
        </w:rPr>
        <w:t>年度投资计划外新增项目，按照以下程序审批：</w:t>
      </w:r>
    </w:p>
    <w:p w14:paraId="30EEC3A2">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（一）经区委、区政府批准实施的年度计划外新增项目，直接纳入投资计划，由项目单位组织实施。</w:t>
      </w:r>
    </w:p>
    <w:p w14:paraId="5D13EA6C">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（二）对落实上级要求且已落实资金的项目，可简化报批程序，经项目主管部门报区政府批准后纳入投资计划，由项目单位组织实施。</w:t>
      </w:r>
    </w:p>
    <w:p w14:paraId="5AF07D38">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（三）对落实上级要求但未明确资金来源或需要区级配套的新增项目，由项目主管部门按照“一事一议”原则，在征求</w:t>
      </w:r>
      <w:r>
        <w:rPr>
          <w:rFonts w:hint="eastAsia" w:ascii="仿宋_GB2312" w:hAnsi="仿宋" w:eastAsia="仿宋_GB2312" w:cs="宋体"/>
          <w:color w:val="auto"/>
          <w:kern w:val="0"/>
          <w:sz w:val="32"/>
          <w:szCs w:val="32"/>
          <w:lang w:val="en-US" w:eastAsia="zh-CN"/>
        </w:rPr>
        <w:t>发改</w:t>
      </w:r>
      <w:r>
        <w:rPr>
          <w:rFonts w:hint="eastAsia" w:ascii="仿宋_GB2312" w:hAnsi="仿宋" w:eastAsia="仿宋_GB2312" w:cs="宋体"/>
          <w:color w:val="auto"/>
          <w:kern w:val="0"/>
          <w:sz w:val="32"/>
          <w:szCs w:val="32"/>
        </w:rPr>
        <w:t>、财政及行业主管部门意见后</w:t>
      </w:r>
      <w:r>
        <w:rPr>
          <w:rFonts w:hint="eastAsia" w:ascii="仿宋_GB2312" w:hAnsi="仿宋" w:eastAsia="仿宋_GB2312" w:cs="宋体"/>
          <w:color w:val="auto"/>
          <w:kern w:val="0"/>
          <w:sz w:val="32"/>
          <w:szCs w:val="32"/>
          <w:lang w:eastAsia="zh-CN"/>
        </w:rPr>
        <w:t>，</w:t>
      </w:r>
      <w:r>
        <w:rPr>
          <w:rFonts w:hint="eastAsia" w:ascii="仿宋_GB2312" w:hAnsi="仿宋" w:eastAsia="仿宋_GB2312" w:cs="宋体"/>
          <w:color w:val="auto"/>
          <w:kern w:val="0"/>
          <w:sz w:val="32"/>
          <w:szCs w:val="32"/>
        </w:rPr>
        <w:t>报区政府常务会议研究审议。审议通过后项目纳入投资计划，由项目单位组织实施。</w:t>
      </w:r>
    </w:p>
    <w:p w14:paraId="3A371AD9">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（四）为应对自然灾害、公共安全等突发事件需要紧急实施的项目，项目单位可按应急抢险程序先行组织实施，并应在一个月内完善审批手续，追加纳入投资计划。</w:t>
      </w:r>
    </w:p>
    <w:p w14:paraId="57AB50C8">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 xml:space="preserve">第七条 </w:t>
      </w:r>
      <w:r>
        <w:rPr>
          <w:rFonts w:hint="eastAsia" w:ascii="仿宋_GB2312" w:hAnsi="仿宋" w:eastAsia="仿宋_GB2312" w:cs="宋体"/>
          <w:color w:val="auto"/>
          <w:kern w:val="0"/>
          <w:sz w:val="32"/>
          <w:szCs w:val="32"/>
        </w:rPr>
        <w:t>基本建设项目的年度投资计划，由区</w:t>
      </w:r>
      <w:r>
        <w:rPr>
          <w:rFonts w:hint="eastAsia" w:ascii="仿宋_GB2312" w:hAnsi="仿宋" w:eastAsia="仿宋_GB2312" w:cs="宋体"/>
          <w:color w:val="auto"/>
          <w:kern w:val="0"/>
          <w:sz w:val="32"/>
          <w:szCs w:val="32"/>
          <w:lang w:val="en-US" w:eastAsia="zh-CN"/>
        </w:rPr>
        <w:t>发改委</w:t>
      </w:r>
      <w:r>
        <w:rPr>
          <w:rFonts w:hint="eastAsia" w:ascii="仿宋_GB2312" w:hAnsi="仿宋" w:eastAsia="仿宋_GB2312" w:cs="宋体"/>
          <w:color w:val="auto"/>
          <w:kern w:val="0"/>
          <w:sz w:val="32"/>
          <w:szCs w:val="32"/>
        </w:rPr>
        <w:t>下达至各项目主管部门；政务信息化项目年度投资计划，由区</w:t>
      </w:r>
      <w:r>
        <w:rPr>
          <w:rFonts w:hint="eastAsia" w:ascii="仿宋_GB2312" w:hAnsi="仿宋" w:eastAsia="仿宋_GB2312" w:cs="宋体"/>
          <w:color w:val="auto"/>
          <w:kern w:val="0"/>
          <w:sz w:val="32"/>
          <w:szCs w:val="32"/>
          <w:lang w:val="en-US" w:eastAsia="zh-CN"/>
        </w:rPr>
        <w:t>审信局</w:t>
      </w:r>
      <w:r>
        <w:rPr>
          <w:rFonts w:hint="eastAsia" w:ascii="仿宋_GB2312" w:hAnsi="仿宋" w:eastAsia="仿宋_GB2312" w:cs="宋体"/>
          <w:color w:val="auto"/>
          <w:kern w:val="0"/>
          <w:sz w:val="32"/>
          <w:szCs w:val="32"/>
        </w:rPr>
        <w:t>下达至各项目主管部门；设备购置和政务服务类项目资金安排，由区财政局通过财政预算下达至各项目主管部门；投资计划一经确定不得随意调整，未纳入投资计划的项目，财政部门不予保障资金。</w:t>
      </w:r>
    </w:p>
    <w:p w14:paraId="7473F97D">
      <w:pPr>
        <w:widowControl/>
        <w:shd w:val="clear" w:color="auto" w:fill="FFFFFF"/>
        <w:spacing w:after="156" w:afterLines="50" w:line="560" w:lineRule="exact"/>
        <w:jc w:val="center"/>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第三章</w:t>
      </w:r>
      <w:r>
        <w:rPr>
          <w:rFonts w:hint="eastAsia" w:ascii="黑体" w:hAnsi="黑体" w:eastAsia="黑体" w:cs="宋体"/>
          <w:color w:val="auto"/>
          <w:kern w:val="0"/>
          <w:sz w:val="32"/>
          <w:szCs w:val="32"/>
        </w:rPr>
        <w:tab/>
      </w:r>
      <w:r>
        <w:rPr>
          <w:rFonts w:hint="eastAsia" w:ascii="黑体" w:hAnsi="黑体" w:eastAsia="黑体" w:cs="宋体"/>
          <w:color w:val="auto"/>
          <w:kern w:val="0"/>
          <w:sz w:val="32"/>
          <w:szCs w:val="32"/>
        </w:rPr>
        <w:t>立项审批管理</w:t>
      </w:r>
    </w:p>
    <w:p w14:paraId="01EE030A">
      <w:pPr>
        <w:widowControl/>
        <w:spacing w:after="156" w:afterLines="50" w:line="560" w:lineRule="exact"/>
        <w:ind w:firstLine="643"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b/>
          <w:bCs/>
          <w:color w:val="auto"/>
          <w:kern w:val="0"/>
          <w:sz w:val="32"/>
          <w:szCs w:val="32"/>
        </w:rPr>
        <w:t>第八条</w:t>
      </w:r>
      <w:r>
        <w:rPr>
          <w:rFonts w:hint="eastAsia" w:ascii="仿宋_GB2312" w:hAnsi="方正仿宋_GB2312" w:eastAsia="仿宋_GB2312" w:cs="方正仿宋_GB2312"/>
          <w:color w:val="auto"/>
          <w:kern w:val="0"/>
          <w:sz w:val="32"/>
          <w:szCs w:val="32"/>
        </w:rPr>
        <w:t xml:space="preserve"> 项目单位应当编制基本建设项目建议书、可行性研究报告、投资概算</w:t>
      </w:r>
      <w:r>
        <w:rPr>
          <w:rFonts w:hint="eastAsia" w:ascii="仿宋_GB2312" w:hAnsi="方正仿宋_GB2312" w:eastAsia="仿宋_GB2312" w:cs="方正仿宋_GB2312"/>
          <w:color w:val="auto"/>
          <w:kern w:val="0"/>
          <w:sz w:val="32"/>
          <w:szCs w:val="32"/>
          <w:lang w:val="en-US" w:eastAsia="zh-CN"/>
        </w:rPr>
        <w:t>和</w:t>
      </w:r>
      <w:r>
        <w:rPr>
          <w:rFonts w:hint="eastAsia" w:ascii="仿宋_GB2312" w:hAnsi="方正仿宋_GB2312" w:eastAsia="仿宋_GB2312" w:cs="方正仿宋_GB2312"/>
          <w:color w:val="auto"/>
          <w:kern w:val="0"/>
          <w:sz w:val="32"/>
          <w:szCs w:val="32"/>
        </w:rPr>
        <w:t>初步设计，加强项目前期工作，确保内容和深度达到规定要求，并对编制内容的真实性负责。</w:t>
      </w:r>
    </w:p>
    <w:p w14:paraId="63C65C13">
      <w:pPr>
        <w:widowControl/>
        <w:spacing w:after="156" w:afterLines="50" w:line="560" w:lineRule="exact"/>
        <w:ind w:firstLine="643"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b/>
          <w:bCs/>
          <w:color w:val="auto"/>
          <w:kern w:val="0"/>
          <w:sz w:val="32"/>
          <w:szCs w:val="32"/>
        </w:rPr>
        <w:t>第九条</w:t>
      </w:r>
      <w:r>
        <w:rPr>
          <w:rFonts w:hint="eastAsia" w:ascii="仿宋_GB2312" w:hAnsi="方正仿宋_GB2312" w:eastAsia="仿宋_GB2312" w:cs="方正仿宋_GB2312"/>
          <w:color w:val="auto"/>
          <w:kern w:val="0"/>
          <w:sz w:val="32"/>
          <w:szCs w:val="32"/>
        </w:rPr>
        <w:t xml:space="preserve"> 财政性资金投资项目须按程序进行审批。其中，基本建设项目的可行性研究报告、初步设计及概算，报</w:t>
      </w:r>
      <w:r>
        <w:rPr>
          <w:rFonts w:hint="eastAsia" w:ascii="仿宋_GB2312" w:hAnsi="方正仿宋_GB2312" w:eastAsia="仿宋_GB2312" w:cs="方正仿宋_GB2312"/>
          <w:color w:val="auto"/>
          <w:kern w:val="0"/>
          <w:sz w:val="32"/>
          <w:szCs w:val="32"/>
          <w:lang w:val="en-US" w:eastAsia="zh-CN"/>
        </w:rPr>
        <w:t>发改</w:t>
      </w:r>
      <w:r>
        <w:rPr>
          <w:rFonts w:hint="eastAsia" w:ascii="仿宋_GB2312" w:hAnsi="方正仿宋_GB2312" w:eastAsia="仿宋_GB2312" w:cs="方正仿宋_GB2312"/>
          <w:color w:val="auto"/>
          <w:kern w:val="0"/>
          <w:sz w:val="32"/>
          <w:szCs w:val="32"/>
        </w:rPr>
        <w:t>部门审批；政务信息化项目须依据政务信息化项目建设管理相关规定，报行政审批和政务信息管理部门审批。</w:t>
      </w:r>
    </w:p>
    <w:p w14:paraId="6575FCDF">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color w:val="auto"/>
          <w:kern w:val="0"/>
          <w:sz w:val="32"/>
          <w:szCs w:val="32"/>
        </w:rPr>
        <w:t>（一）项目建议书。项目单位应对基本建设项目实施必要性和依据、主要建设内容、拟建地点、拟建规模、投资匡算、资金筹措及经济和社会效益等内容进行分析，并附相关文件资料。报批时，应当提交区政府同意建设该项目的文件（有关规划、计划、政府会议纪要等）、财政部门出具的资金筹措意见以及其他相关材料。</w:t>
      </w:r>
    </w:p>
    <w:p w14:paraId="4DC8C4DF">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color w:val="auto"/>
          <w:kern w:val="0"/>
          <w:sz w:val="32"/>
          <w:szCs w:val="32"/>
        </w:rPr>
        <w:t>（二）可行性研究报告。项目单位应当对基本建设项目的技术经济可行性、社会效益、资源综合利用、生态环境影响、社会稳定风险以及资金筹措方案等进行全面分析论证。报批时，应当依法提供用地预审与选址意见书、节能审查意见以及法律、行政法规要求提供的其他文件。</w:t>
      </w:r>
    </w:p>
    <w:p w14:paraId="65379E45">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color w:val="auto"/>
          <w:kern w:val="0"/>
          <w:sz w:val="32"/>
          <w:szCs w:val="32"/>
        </w:rPr>
        <w:t>（三）项目初步设计。项目单位应依据批复的可行性研究报告，依法编制基本建设项目的投资概算与初步设计。</w:t>
      </w:r>
    </w:p>
    <w:p w14:paraId="70E8F9BC">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lang w:eastAsia="zh-CN"/>
        </w:rPr>
      </w:pPr>
      <w:r>
        <w:rPr>
          <w:rFonts w:hint="eastAsia" w:ascii="仿宋_GB2312" w:hAnsi="方正仿宋_GB2312" w:eastAsia="仿宋_GB2312" w:cs="方正仿宋_GB2312"/>
          <w:color w:val="auto"/>
          <w:kern w:val="0"/>
          <w:sz w:val="32"/>
          <w:szCs w:val="32"/>
        </w:rPr>
        <w:t>1.投资概算应当包括国家规定的项目建设所需的全部费用，包括工程费用、工程建设其他费用、预备费等</w:t>
      </w:r>
      <w:r>
        <w:rPr>
          <w:rFonts w:hint="eastAsia" w:ascii="仿宋_GB2312" w:hAnsi="方正仿宋_GB2312" w:eastAsia="仿宋_GB2312" w:cs="方正仿宋_GB2312"/>
          <w:color w:val="auto"/>
          <w:kern w:val="0"/>
          <w:sz w:val="32"/>
          <w:szCs w:val="32"/>
          <w:lang w:eastAsia="zh-CN"/>
        </w:rPr>
        <w:t>；</w:t>
      </w:r>
    </w:p>
    <w:p w14:paraId="1C8C71AB">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u w:val="none"/>
          <w:lang w:eastAsia="zh-CN"/>
        </w:rPr>
      </w:pPr>
      <w:r>
        <w:rPr>
          <w:rFonts w:hint="eastAsia" w:ascii="仿宋_GB2312" w:hAnsi="方正仿宋_GB2312" w:eastAsia="仿宋_GB2312" w:cs="方正仿宋_GB2312"/>
          <w:color w:val="auto"/>
          <w:kern w:val="0"/>
          <w:sz w:val="32"/>
          <w:szCs w:val="32"/>
        </w:rPr>
        <w:t>2.初步设计应明确项目各单项工程或单位工程的建设内容、建设规模、用地规模、建设标准、主要材料、设备规格及技术参数</w:t>
      </w:r>
      <w:r>
        <w:rPr>
          <w:rFonts w:hint="eastAsia" w:ascii="仿宋_GB2312" w:hAnsi="方正仿宋_GB2312" w:eastAsia="仿宋_GB2312" w:cs="方正仿宋_GB2312"/>
          <w:color w:val="auto"/>
          <w:kern w:val="0"/>
          <w:sz w:val="32"/>
          <w:szCs w:val="32"/>
          <w:u w:val="none"/>
        </w:rPr>
        <w:t>等</w:t>
      </w:r>
      <w:r>
        <w:rPr>
          <w:rFonts w:hint="eastAsia" w:ascii="仿宋_GB2312" w:hAnsi="方正仿宋_GB2312" w:eastAsia="仿宋_GB2312" w:cs="方正仿宋_GB2312"/>
          <w:color w:val="auto"/>
          <w:kern w:val="0"/>
          <w:sz w:val="32"/>
          <w:szCs w:val="32"/>
          <w:u w:val="none"/>
          <w:lang w:eastAsia="zh-CN"/>
        </w:rPr>
        <w:t>；</w:t>
      </w:r>
    </w:p>
    <w:p w14:paraId="19602639">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u w:val="none"/>
          <w:lang w:eastAsia="zh-CN"/>
        </w:rPr>
      </w:pPr>
      <w:r>
        <w:rPr>
          <w:rFonts w:hint="eastAsia" w:ascii="仿宋_GB2312" w:hAnsi="方正仿宋_GB2312" w:eastAsia="仿宋_GB2312" w:cs="方正仿宋_GB2312"/>
          <w:color w:val="auto"/>
          <w:kern w:val="0"/>
          <w:sz w:val="32"/>
          <w:szCs w:val="32"/>
          <w:u w:val="none"/>
        </w:rPr>
        <w:t>3</w:t>
      </w:r>
      <w:bookmarkStart w:id="0" w:name="_Hlk224566027"/>
      <w:r>
        <w:rPr>
          <w:rFonts w:hint="eastAsia" w:ascii="仿宋_GB2312" w:hAnsi="方正仿宋_GB2312" w:eastAsia="仿宋_GB2312" w:cs="方正仿宋_GB2312"/>
          <w:color w:val="auto"/>
          <w:kern w:val="0"/>
          <w:sz w:val="32"/>
          <w:szCs w:val="32"/>
          <w:u w:val="none"/>
        </w:rPr>
        <w:t>.</w:t>
      </w:r>
      <w:r>
        <w:rPr>
          <w:rFonts w:hint="eastAsia"/>
          <w:color w:val="auto"/>
          <w:u w:val="none"/>
        </w:rPr>
        <w:t xml:space="preserve"> </w:t>
      </w:r>
      <w:r>
        <w:rPr>
          <w:rFonts w:hint="eastAsia" w:ascii="仿宋_GB2312" w:hAnsi="方正仿宋_GB2312" w:eastAsia="仿宋_GB2312" w:cs="方正仿宋_GB2312"/>
          <w:color w:val="auto"/>
          <w:kern w:val="0"/>
          <w:sz w:val="32"/>
          <w:szCs w:val="32"/>
          <w:highlight w:val="none"/>
          <w:u w:val="none"/>
        </w:rPr>
        <w:t>项目总投资额超过 3000 万元的</w:t>
      </w:r>
      <w:r>
        <w:rPr>
          <w:rFonts w:hint="eastAsia" w:ascii="仿宋_GB2312" w:hAnsi="方正仿宋_GB2312" w:eastAsia="仿宋_GB2312" w:cs="方正仿宋_GB2312"/>
          <w:color w:val="auto"/>
          <w:kern w:val="0"/>
          <w:sz w:val="32"/>
          <w:szCs w:val="32"/>
          <w:u w:val="none"/>
        </w:rPr>
        <w:t>重大项目，在初步设计编制完成后，由区政府</w:t>
      </w:r>
      <w:r>
        <w:rPr>
          <w:rFonts w:hint="eastAsia" w:ascii="仿宋_GB2312" w:hAnsi="方正仿宋_GB2312" w:eastAsia="仿宋_GB2312" w:cs="方正仿宋_GB2312"/>
          <w:color w:val="auto"/>
          <w:kern w:val="0"/>
          <w:sz w:val="32"/>
          <w:szCs w:val="32"/>
          <w:u w:val="none"/>
          <w:lang w:eastAsia="zh-CN"/>
        </w:rPr>
        <w:t>统筹安排</w:t>
      </w:r>
      <w:r>
        <w:rPr>
          <w:rFonts w:hint="eastAsia" w:ascii="仿宋_GB2312" w:hAnsi="方正仿宋_GB2312" w:eastAsia="仿宋_GB2312" w:cs="方正仿宋_GB2312"/>
          <w:color w:val="auto"/>
          <w:kern w:val="0"/>
          <w:sz w:val="32"/>
          <w:szCs w:val="32"/>
          <w:u w:val="none"/>
        </w:rPr>
        <w:t>，组织区发改委、</w:t>
      </w:r>
      <w:r>
        <w:rPr>
          <w:rFonts w:hint="eastAsia" w:ascii="仿宋_GB2312" w:hAnsi="方正仿宋_GB2312" w:eastAsia="仿宋_GB2312" w:cs="方正仿宋_GB2312"/>
          <w:color w:val="auto"/>
          <w:kern w:val="0"/>
          <w:sz w:val="32"/>
          <w:szCs w:val="32"/>
          <w:u w:val="none"/>
          <w:lang w:val="en-US" w:eastAsia="zh-CN"/>
        </w:rPr>
        <w:t>区</w:t>
      </w:r>
      <w:r>
        <w:rPr>
          <w:rFonts w:hint="eastAsia" w:ascii="仿宋_GB2312" w:hAnsi="方正仿宋_GB2312" w:eastAsia="仿宋_GB2312" w:cs="方正仿宋_GB2312"/>
          <w:color w:val="auto"/>
          <w:kern w:val="0"/>
          <w:sz w:val="32"/>
          <w:szCs w:val="32"/>
          <w:u w:val="none"/>
        </w:rPr>
        <w:t>财政局、自然资源规划分局、</w:t>
      </w:r>
      <w:r>
        <w:rPr>
          <w:rFonts w:hint="eastAsia" w:ascii="仿宋_GB2312" w:hAnsi="方正仿宋_GB2312" w:eastAsia="仿宋_GB2312" w:cs="方正仿宋_GB2312"/>
          <w:color w:val="auto"/>
          <w:kern w:val="0"/>
          <w:sz w:val="32"/>
          <w:szCs w:val="32"/>
          <w:u w:val="none"/>
          <w:lang w:val="en-US" w:eastAsia="zh-CN"/>
        </w:rPr>
        <w:t>区</w:t>
      </w:r>
      <w:r>
        <w:rPr>
          <w:rFonts w:hint="eastAsia" w:ascii="仿宋_GB2312" w:hAnsi="方正仿宋_GB2312" w:eastAsia="仿宋_GB2312" w:cs="方正仿宋_GB2312"/>
          <w:color w:val="auto"/>
          <w:kern w:val="0"/>
          <w:sz w:val="32"/>
          <w:szCs w:val="32"/>
          <w:u w:val="none"/>
        </w:rPr>
        <w:t>住建局、</w:t>
      </w:r>
      <w:r>
        <w:rPr>
          <w:rFonts w:hint="eastAsia" w:ascii="仿宋_GB2312" w:hAnsi="方正仿宋_GB2312" w:eastAsia="仿宋_GB2312" w:cs="方正仿宋_GB2312"/>
          <w:color w:val="auto"/>
          <w:kern w:val="0"/>
          <w:sz w:val="32"/>
          <w:szCs w:val="32"/>
          <w:u w:val="none"/>
          <w:lang w:val="en-US" w:eastAsia="zh-CN"/>
        </w:rPr>
        <w:t>区</w:t>
      </w:r>
      <w:r>
        <w:rPr>
          <w:rFonts w:hint="eastAsia" w:ascii="仿宋_GB2312" w:hAnsi="方正仿宋_GB2312" w:eastAsia="仿宋_GB2312" w:cs="方正仿宋_GB2312"/>
          <w:color w:val="auto"/>
          <w:kern w:val="0"/>
          <w:sz w:val="32"/>
          <w:szCs w:val="32"/>
          <w:u w:val="none"/>
        </w:rPr>
        <w:t>水利局、</w:t>
      </w:r>
      <w:r>
        <w:rPr>
          <w:rFonts w:hint="eastAsia" w:ascii="仿宋_GB2312" w:hAnsi="方正仿宋_GB2312" w:eastAsia="仿宋_GB2312" w:cs="方正仿宋_GB2312"/>
          <w:color w:val="auto"/>
          <w:kern w:val="0"/>
          <w:sz w:val="32"/>
          <w:szCs w:val="32"/>
          <w:u w:val="none"/>
          <w:lang w:val="en-US" w:eastAsia="zh-CN"/>
        </w:rPr>
        <w:t>区</w:t>
      </w:r>
      <w:r>
        <w:rPr>
          <w:rFonts w:hint="eastAsia" w:ascii="仿宋_GB2312" w:hAnsi="方正仿宋_GB2312" w:eastAsia="仿宋_GB2312" w:cs="方正仿宋_GB2312"/>
          <w:color w:val="auto"/>
          <w:kern w:val="0"/>
          <w:sz w:val="32"/>
          <w:szCs w:val="32"/>
          <w:u w:val="none"/>
        </w:rPr>
        <w:t>交通局、</w:t>
      </w:r>
      <w:r>
        <w:rPr>
          <w:rFonts w:hint="eastAsia" w:ascii="仿宋_GB2312" w:hAnsi="方正仿宋_GB2312" w:eastAsia="仿宋_GB2312" w:cs="方正仿宋_GB2312"/>
          <w:color w:val="auto"/>
          <w:kern w:val="0"/>
          <w:sz w:val="32"/>
          <w:szCs w:val="32"/>
          <w:u w:val="none"/>
          <w:lang w:val="en-US" w:eastAsia="zh-CN"/>
        </w:rPr>
        <w:t>区</w:t>
      </w:r>
      <w:r>
        <w:rPr>
          <w:rFonts w:hint="eastAsia" w:ascii="仿宋_GB2312" w:hAnsi="方正仿宋_GB2312" w:eastAsia="仿宋_GB2312" w:cs="方正仿宋_GB2312"/>
          <w:color w:val="auto"/>
          <w:kern w:val="0"/>
          <w:sz w:val="32"/>
          <w:szCs w:val="32"/>
          <w:u w:val="none"/>
        </w:rPr>
        <w:t>公路</w:t>
      </w:r>
      <w:r>
        <w:rPr>
          <w:rFonts w:hint="eastAsia" w:ascii="仿宋_GB2312" w:hAnsi="方正仿宋_GB2312" w:eastAsia="仿宋_GB2312" w:cs="方正仿宋_GB2312"/>
          <w:color w:val="auto"/>
          <w:kern w:val="0"/>
          <w:sz w:val="32"/>
          <w:szCs w:val="32"/>
          <w:u w:val="none"/>
          <w:lang w:val="en-US" w:eastAsia="zh-CN"/>
        </w:rPr>
        <w:t>事业发展</w:t>
      </w:r>
      <w:r>
        <w:rPr>
          <w:rFonts w:hint="eastAsia" w:ascii="仿宋_GB2312" w:hAnsi="方正仿宋_GB2312" w:eastAsia="仿宋_GB2312" w:cs="方正仿宋_GB2312"/>
          <w:color w:val="auto"/>
          <w:kern w:val="0"/>
          <w:sz w:val="32"/>
          <w:szCs w:val="32"/>
          <w:u w:val="none"/>
        </w:rPr>
        <w:t>中心等相关部门，联合行业专家或第三方机构组成图审团队，对项目设计方案的经济性开展复审，并出具《经济性审查意见》</w:t>
      </w:r>
      <w:r>
        <w:rPr>
          <w:rFonts w:hint="eastAsia" w:ascii="仿宋_GB2312" w:hAnsi="方正仿宋_GB2312" w:eastAsia="仿宋_GB2312" w:cs="方正仿宋_GB2312"/>
          <w:color w:val="auto"/>
          <w:kern w:val="0"/>
          <w:sz w:val="32"/>
          <w:szCs w:val="32"/>
          <w:u w:val="none"/>
          <w:lang w:eastAsia="zh-CN"/>
        </w:rPr>
        <w:t>。</w:t>
      </w:r>
    </w:p>
    <w:bookmarkEnd w:id="0"/>
    <w:p w14:paraId="577223D7">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u w:val="none"/>
        </w:rPr>
      </w:pPr>
      <w:r>
        <w:rPr>
          <w:rFonts w:hint="eastAsia" w:ascii="仿宋_GB2312" w:hAnsi="方正仿宋_GB2312" w:eastAsia="仿宋_GB2312" w:cs="方正仿宋_GB2312"/>
          <w:color w:val="auto"/>
          <w:kern w:val="0"/>
          <w:sz w:val="32"/>
          <w:szCs w:val="32"/>
          <w:u w:val="none"/>
        </w:rPr>
        <w:t>4.建立设计复审奖惩机制。鼓励在确保项目功能达标且质量标准符合要求的前提下优化设计方案，压减不合理、不必要的工程造价。针对设计复审环节压减的工程造价，应依据事前合同约定，按照压减金额占工程造价的比例，相应扣减设计单位委托服务费。</w:t>
      </w:r>
    </w:p>
    <w:p w14:paraId="25593BE9">
      <w:pPr>
        <w:widowControl/>
        <w:spacing w:after="156" w:afterLines="50" w:line="560" w:lineRule="exact"/>
        <w:ind w:firstLine="643"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b/>
          <w:bCs/>
          <w:color w:val="auto"/>
          <w:kern w:val="0"/>
          <w:sz w:val="32"/>
          <w:szCs w:val="32"/>
        </w:rPr>
        <w:t>第十条</w:t>
      </w:r>
      <w:r>
        <w:rPr>
          <w:rFonts w:hint="eastAsia" w:ascii="仿宋_GB2312" w:hAnsi="方正仿宋_GB2312" w:eastAsia="仿宋_GB2312" w:cs="方正仿宋_GB2312"/>
          <w:color w:val="auto"/>
          <w:kern w:val="0"/>
          <w:sz w:val="32"/>
          <w:szCs w:val="32"/>
        </w:rPr>
        <w:t xml:space="preserve"> 项目审批部门应当根据国民经济和社会发展规划、相关领域专项规划、产业政策等，从下列方面对基本建设项目进行审查，作出是否批准的决定：</w:t>
      </w:r>
    </w:p>
    <w:p w14:paraId="0A8028A4">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color w:val="auto"/>
          <w:kern w:val="0"/>
          <w:sz w:val="32"/>
          <w:szCs w:val="32"/>
        </w:rPr>
        <w:t>（一）项目建议书提出的项目建设的必要性；</w:t>
      </w:r>
    </w:p>
    <w:p w14:paraId="43E767F0">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color w:val="auto"/>
          <w:kern w:val="0"/>
          <w:sz w:val="32"/>
          <w:szCs w:val="32"/>
        </w:rPr>
        <w:t>（二）可行性研究报告分析的项目技术经济可行性、社会效益以及项目资金等主要建设条件的落实情况；</w:t>
      </w:r>
    </w:p>
    <w:p w14:paraId="6700BA69">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color w:val="auto"/>
          <w:kern w:val="0"/>
          <w:sz w:val="32"/>
          <w:szCs w:val="32"/>
        </w:rPr>
        <w:t>（三）投资概算及初步设计是否符合可行性研究报告批复以及国家有关标准和规范的要求；</w:t>
      </w:r>
    </w:p>
    <w:p w14:paraId="19704F95">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color w:val="auto"/>
          <w:kern w:val="0"/>
          <w:sz w:val="32"/>
          <w:szCs w:val="32"/>
        </w:rPr>
        <w:t>（四）依照法律、行政法规和国家有关规定应当审查的其他事项。</w:t>
      </w:r>
    </w:p>
    <w:p w14:paraId="5D38C6D7">
      <w:pPr>
        <w:widowControl/>
        <w:spacing w:after="156" w:afterLines="50" w:line="560" w:lineRule="exact"/>
        <w:ind w:firstLine="643"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b/>
          <w:bCs/>
          <w:color w:val="auto"/>
          <w:kern w:val="0"/>
          <w:sz w:val="32"/>
          <w:szCs w:val="32"/>
        </w:rPr>
        <w:t>第十一条</w:t>
      </w:r>
      <w:r>
        <w:rPr>
          <w:rFonts w:hint="eastAsia" w:ascii="仿宋_GB2312" w:hAnsi="方正仿宋_GB2312" w:eastAsia="仿宋_GB2312" w:cs="方正仿宋_GB2312"/>
          <w:color w:val="auto"/>
          <w:kern w:val="0"/>
          <w:sz w:val="32"/>
          <w:szCs w:val="32"/>
        </w:rPr>
        <w:t xml:space="preserve"> 对经济社会发展、社会公众利益有重大影响或者投资规模较大的财政性资金投资项目，投资主管部门或相关行业主管部门应当在中介服务机构评估、公众参与、专家评议、风险评估基础上作出是否批准的决定。对投资项目不予批准的，应当书面通知项目单位并说明理由。国家和省级人民政府对审批权限有特别规定的，从其规定。</w:t>
      </w:r>
    </w:p>
    <w:p w14:paraId="1F936FAF">
      <w:pPr>
        <w:widowControl/>
        <w:spacing w:after="156" w:afterLines="50" w:line="560" w:lineRule="exact"/>
        <w:ind w:firstLine="643"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b/>
          <w:bCs/>
          <w:color w:val="auto"/>
          <w:kern w:val="0"/>
          <w:sz w:val="32"/>
          <w:szCs w:val="32"/>
        </w:rPr>
        <w:t>第十二条</w:t>
      </w:r>
      <w:r>
        <w:rPr>
          <w:rFonts w:hint="eastAsia" w:ascii="仿宋_GB2312" w:hAnsi="方正仿宋_GB2312" w:eastAsia="仿宋_GB2312" w:cs="方正仿宋_GB2312"/>
          <w:color w:val="auto"/>
          <w:kern w:val="0"/>
          <w:sz w:val="32"/>
          <w:szCs w:val="32"/>
        </w:rPr>
        <w:t xml:space="preserve"> 对于下列基本建设项目，可依照国家有关规定简化需报批的文件及审批程序：</w:t>
      </w:r>
    </w:p>
    <w:p w14:paraId="22169602">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color w:val="auto"/>
          <w:kern w:val="0"/>
          <w:sz w:val="32"/>
          <w:szCs w:val="32"/>
        </w:rPr>
        <w:t>（一）纳入经区政府审定的专项规划、行动计划的项目，其相关规划计划批复文件视同项目建议书批复文件，项目单位可直接编制可行性研究报告；</w:t>
      </w:r>
    </w:p>
    <w:p w14:paraId="3F5E1ABC">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color w:val="auto"/>
          <w:kern w:val="0"/>
          <w:sz w:val="32"/>
          <w:szCs w:val="32"/>
        </w:rPr>
        <w:t>（二）</w:t>
      </w:r>
      <w:r>
        <w:rPr>
          <w:rFonts w:hint="eastAsia" w:ascii="仿宋_GB2312" w:hAnsi="方正仿宋_GB2312" w:eastAsia="仿宋_GB2312" w:cs="方正仿宋_GB2312"/>
          <w:color w:val="auto"/>
          <w:kern w:val="0"/>
          <w:sz w:val="32"/>
          <w:szCs w:val="32"/>
          <w:u w:val="none"/>
        </w:rPr>
        <w:t>投资1000万元以下，或</w:t>
      </w:r>
      <w:r>
        <w:rPr>
          <w:rFonts w:hint="eastAsia" w:ascii="仿宋_GB2312" w:hAnsi="方正仿宋_GB2312" w:eastAsia="仿宋_GB2312" w:cs="方正仿宋_GB2312"/>
          <w:color w:val="auto"/>
          <w:kern w:val="0"/>
          <w:sz w:val="32"/>
          <w:szCs w:val="32"/>
        </w:rPr>
        <w:t>建设内容单一、投资规模较小、技术方案简单的项目，不再审批项目建议书和初步设计，直接批复项目可行性研究报告（含投资概算）；</w:t>
      </w:r>
    </w:p>
    <w:p w14:paraId="38AD0B56">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color w:val="auto"/>
          <w:kern w:val="0"/>
          <w:sz w:val="32"/>
          <w:szCs w:val="32"/>
        </w:rPr>
        <w:t>（三）房建购置类项目不再批复项目建议书、可行性研究报告和初步设计及概算，直接批复项目购置方案；</w:t>
      </w:r>
    </w:p>
    <w:p w14:paraId="36DE267E">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color w:val="auto"/>
          <w:kern w:val="0"/>
          <w:sz w:val="32"/>
          <w:szCs w:val="32"/>
        </w:rPr>
        <w:t>（四）单纯设备购置类项目，包括办公家具和办公设备购置、专用材料设备购置、专用工具和仪器购置等项目，不需要提交</w:t>
      </w:r>
      <w:r>
        <w:rPr>
          <w:rFonts w:hint="eastAsia" w:ascii="仿宋_GB2312" w:hAnsi="方正仿宋_GB2312" w:eastAsia="仿宋_GB2312" w:cs="方正仿宋_GB2312"/>
          <w:color w:val="auto"/>
          <w:kern w:val="0"/>
          <w:sz w:val="32"/>
          <w:szCs w:val="32"/>
          <w:lang w:val="en-US" w:eastAsia="zh-CN"/>
        </w:rPr>
        <w:t>发改</w:t>
      </w:r>
      <w:r>
        <w:rPr>
          <w:rFonts w:hint="eastAsia" w:ascii="仿宋_GB2312" w:hAnsi="方正仿宋_GB2312" w:eastAsia="仿宋_GB2312" w:cs="方正仿宋_GB2312"/>
          <w:color w:val="auto"/>
          <w:kern w:val="0"/>
          <w:sz w:val="32"/>
          <w:szCs w:val="32"/>
        </w:rPr>
        <w:t>部门审批，可由项目建设单位或主管部门按照专项资金审批流程报请区政府批准同意后，按照政府采购程序采购；</w:t>
      </w:r>
    </w:p>
    <w:p w14:paraId="0DAF2766">
      <w:pPr>
        <w:widowControl/>
        <w:spacing w:after="156" w:afterLines="50" w:line="560" w:lineRule="exact"/>
        <w:ind w:firstLine="640"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color w:val="auto"/>
          <w:kern w:val="0"/>
          <w:sz w:val="32"/>
          <w:szCs w:val="32"/>
        </w:rPr>
        <w:t>（五）为应对突发事件需紧急建设的项目，依照国家和省此类项目的特殊审批程序，从简从快办理。</w:t>
      </w:r>
    </w:p>
    <w:p w14:paraId="776D7910">
      <w:pPr>
        <w:widowControl/>
        <w:spacing w:after="156" w:afterLines="50" w:line="560" w:lineRule="exact"/>
        <w:ind w:firstLine="643"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b/>
          <w:bCs/>
          <w:color w:val="auto"/>
          <w:kern w:val="0"/>
          <w:sz w:val="32"/>
          <w:szCs w:val="32"/>
        </w:rPr>
        <w:t>第十三条</w:t>
      </w:r>
      <w:r>
        <w:rPr>
          <w:rFonts w:hint="eastAsia" w:ascii="仿宋_GB2312" w:hAnsi="方正仿宋_GB2312" w:eastAsia="仿宋_GB2312" w:cs="方正仿宋_GB2312"/>
          <w:color w:val="auto"/>
          <w:kern w:val="0"/>
          <w:sz w:val="32"/>
          <w:szCs w:val="32"/>
        </w:rPr>
        <w:t xml:space="preserve"> 经项目审批部门批复的可行性研究报告，是编制初步设计及投资概算的依据；经项目审批部门核定的投资概算，是安排政府投资计划、开展工程招标投标、控制项目总投资的依据。</w:t>
      </w:r>
    </w:p>
    <w:p w14:paraId="61E8751C">
      <w:pPr>
        <w:widowControl/>
        <w:spacing w:after="156" w:afterLines="50" w:line="560" w:lineRule="exact"/>
        <w:ind w:firstLine="643"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b/>
          <w:bCs/>
          <w:color w:val="auto"/>
          <w:kern w:val="0"/>
          <w:sz w:val="32"/>
          <w:szCs w:val="32"/>
        </w:rPr>
        <w:t>第十四条</w:t>
      </w:r>
      <w:r>
        <w:rPr>
          <w:rFonts w:hint="eastAsia" w:ascii="仿宋_GB2312" w:hAnsi="方正仿宋_GB2312" w:eastAsia="仿宋_GB2312" w:cs="方正仿宋_GB2312"/>
          <w:color w:val="auto"/>
          <w:kern w:val="0"/>
          <w:sz w:val="32"/>
          <w:szCs w:val="32"/>
        </w:rPr>
        <w:t xml:space="preserve"> </w:t>
      </w:r>
      <w:r>
        <w:rPr>
          <w:rFonts w:hint="default" w:ascii="仿宋_GB2312" w:hAnsi="方正仿宋_GB2312" w:eastAsia="仿宋_GB2312" w:cs="方正仿宋_GB2312"/>
          <w:color w:val="auto"/>
          <w:kern w:val="0"/>
          <w:sz w:val="32"/>
          <w:szCs w:val="32"/>
          <w:lang w:val="en-US" w:eastAsia="zh-CN"/>
        </w:rPr>
        <w:t>项目概算一经批准，不得擅自突破。严禁擅自增加建设内容、扩大建设规模、提高建设标准或者改变设计方案，由此造成项目超概算的，一律按照“先定责、再追责、后调整概算”原则从严处理。</w:t>
      </w:r>
    </w:p>
    <w:p w14:paraId="75975096">
      <w:pPr>
        <w:widowControl/>
        <w:spacing w:after="156" w:afterLines="50" w:line="560" w:lineRule="exact"/>
        <w:ind w:firstLine="643"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b/>
          <w:bCs/>
          <w:color w:val="auto"/>
          <w:kern w:val="0"/>
          <w:sz w:val="32"/>
          <w:szCs w:val="32"/>
        </w:rPr>
        <w:t>第十五条</w:t>
      </w:r>
      <w:r>
        <w:rPr>
          <w:rFonts w:hint="eastAsia" w:ascii="仿宋_GB2312" w:hAnsi="方正仿宋_GB2312" w:eastAsia="仿宋_GB2312" w:cs="方正仿宋_GB2312"/>
          <w:color w:val="auto"/>
          <w:kern w:val="0"/>
          <w:sz w:val="32"/>
          <w:szCs w:val="32"/>
        </w:rPr>
        <w:t xml:space="preserve"> 项目单位应当在项目概算批复金额内，遴选具备相应资质的单位开展施工图设计并编制项目预算。设计单位应当依据项目批复概算进行限额设计，严禁出现过度设计、超标准设计的情况。</w:t>
      </w:r>
    </w:p>
    <w:p w14:paraId="27C9C978">
      <w:pPr>
        <w:widowControl/>
        <w:spacing w:after="156" w:afterLines="50" w:line="560" w:lineRule="exact"/>
        <w:ind w:firstLine="643"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b/>
          <w:bCs/>
          <w:color w:val="auto"/>
          <w:kern w:val="0"/>
          <w:sz w:val="32"/>
          <w:szCs w:val="32"/>
        </w:rPr>
        <w:t>第十六条</w:t>
      </w:r>
      <w:r>
        <w:rPr>
          <w:rFonts w:hint="eastAsia" w:ascii="仿宋_GB2312" w:hAnsi="方正仿宋_GB2312" w:eastAsia="仿宋_GB2312" w:cs="方正仿宋_GB2312"/>
          <w:color w:val="auto"/>
          <w:kern w:val="0"/>
          <w:sz w:val="32"/>
          <w:szCs w:val="32"/>
        </w:rPr>
        <w:t xml:space="preserve"> </w:t>
      </w:r>
      <w:r>
        <w:rPr>
          <w:rFonts w:hint="eastAsia" w:ascii="仿宋_GB2312" w:hAnsi="方正仿宋_GB2312" w:eastAsia="仿宋_GB2312" w:cs="方正仿宋_GB2312"/>
          <w:color w:val="auto"/>
          <w:kern w:val="0"/>
          <w:sz w:val="32"/>
          <w:szCs w:val="32"/>
          <w:lang w:val="en-US" w:eastAsia="zh-CN"/>
        </w:rPr>
        <w:t>住建</w:t>
      </w:r>
      <w:r>
        <w:rPr>
          <w:rFonts w:hint="eastAsia" w:ascii="仿宋_GB2312" w:hAnsi="方正仿宋_GB2312" w:eastAsia="仿宋_GB2312" w:cs="方正仿宋_GB2312"/>
          <w:color w:val="auto"/>
          <w:kern w:val="0"/>
          <w:sz w:val="32"/>
          <w:szCs w:val="32"/>
        </w:rPr>
        <w:t>、交通、水利等相关部门在项目审查过程中，若发现设计单位存在超概算、超标准设计等行为，应当</w:t>
      </w:r>
      <w:r>
        <w:rPr>
          <w:rFonts w:hint="eastAsia" w:ascii="仿宋_GB2312" w:hAnsi="方正仿宋_GB2312" w:eastAsia="仿宋_GB2312" w:cs="方正仿宋_GB2312"/>
          <w:color w:val="auto"/>
          <w:kern w:val="0"/>
          <w:sz w:val="32"/>
          <w:szCs w:val="32"/>
          <w:lang w:val="en-US" w:eastAsia="zh-CN"/>
        </w:rPr>
        <w:t>退回</w:t>
      </w:r>
      <w:r>
        <w:rPr>
          <w:rFonts w:hint="eastAsia" w:ascii="仿宋_GB2312" w:hAnsi="方正仿宋_GB2312" w:eastAsia="仿宋_GB2312" w:cs="方正仿宋_GB2312"/>
          <w:color w:val="auto"/>
          <w:kern w:val="0"/>
          <w:sz w:val="32"/>
          <w:szCs w:val="32"/>
        </w:rPr>
        <w:t>设计单位或项目单位重新设计。</w:t>
      </w:r>
    </w:p>
    <w:p w14:paraId="6B0FC0B8">
      <w:pPr>
        <w:widowControl/>
        <w:spacing w:after="156" w:afterLines="50" w:line="560" w:lineRule="exact"/>
        <w:ind w:firstLine="643"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b/>
          <w:bCs/>
          <w:color w:val="auto"/>
          <w:kern w:val="0"/>
          <w:sz w:val="32"/>
          <w:szCs w:val="32"/>
        </w:rPr>
        <w:t>第十七条</w:t>
      </w:r>
      <w:r>
        <w:rPr>
          <w:rFonts w:hint="eastAsia" w:ascii="仿宋_GB2312" w:hAnsi="方正仿宋_GB2312" w:eastAsia="仿宋_GB2312" w:cs="方正仿宋_GB2312"/>
          <w:color w:val="auto"/>
          <w:kern w:val="0"/>
          <w:sz w:val="32"/>
          <w:szCs w:val="32"/>
        </w:rPr>
        <w:t xml:space="preserve"> 因勘察（设计）失误等因素致使工程造价增加达到合同价10%及以上的，项目单位应当依据相关法律规定和合同约定，追究勘察（设计）单位的民事法律责任。</w:t>
      </w:r>
    </w:p>
    <w:p w14:paraId="485EA190">
      <w:pPr>
        <w:widowControl/>
        <w:spacing w:after="156" w:afterLines="50" w:line="560" w:lineRule="exact"/>
        <w:ind w:firstLine="643"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b/>
          <w:bCs/>
          <w:color w:val="auto"/>
          <w:kern w:val="0"/>
          <w:sz w:val="32"/>
          <w:szCs w:val="32"/>
        </w:rPr>
        <w:t>第十八条</w:t>
      </w:r>
      <w:r>
        <w:rPr>
          <w:rFonts w:hint="eastAsia" w:ascii="仿宋_GB2312" w:hAnsi="方正仿宋_GB2312" w:eastAsia="仿宋_GB2312" w:cs="方正仿宋_GB2312"/>
          <w:color w:val="auto"/>
          <w:kern w:val="0"/>
          <w:sz w:val="32"/>
          <w:szCs w:val="32"/>
        </w:rPr>
        <w:t xml:space="preserve"> 除涉及国家秘密的项目外，投资主管部门及相关单位应通过河南省投资项目在线审批监管平台（以下简称在线平台），运用在线平台生成的项目代码办理投资项目各项审批事宜，依法开展信息公开、协同监管工作，强化事中事后监管，主动接受社会监督。</w:t>
      </w:r>
    </w:p>
    <w:p w14:paraId="1E3D6C12">
      <w:pPr>
        <w:widowControl/>
        <w:spacing w:after="156" w:afterLines="50" w:line="560" w:lineRule="exact"/>
        <w:ind w:firstLine="643" w:firstLineChars="200"/>
        <w:jc w:val="left"/>
        <w:rPr>
          <w:rFonts w:hint="eastAsia" w:ascii="仿宋_GB2312" w:hAnsi="方正仿宋_GB2312" w:eastAsia="仿宋_GB2312" w:cs="方正仿宋_GB2312"/>
          <w:color w:val="auto"/>
          <w:kern w:val="0"/>
          <w:sz w:val="32"/>
          <w:szCs w:val="32"/>
        </w:rPr>
      </w:pPr>
      <w:r>
        <w:rPr>
          <w:rFonts w:hint="eastAsia" w:ascii="仿宋_GB2312" w:hAnsi="方正仿宋_GB2312" w:eastAsia="仿宋_GB2312" w:cs="方正仿宋_GB2312"/>
          <w:b/>
          <w:bCs/>
          <w:color w:val="auto"/>
          <w:kern w:val="0"/>
          <w:sz w:val="32"/>
          <w:szCs w:val="32"/>
        </w:rPr>
        <w:t>第十九条</w:t>
      </w:r>
      <w:r>
        <w:rPr>
          <w:rFonts w:hint="eastAsia" w:ascii="仿宋_GB2312" w:hAnsi="方正仿宋_GB2312" w:eastAsia="仿宋_GB2312" w:cs="方正仿宋_GB2312"/>
          <w:color w:val="auto"/>
          <w:kern w:val="0"/>
          <w:sz w:val="32"/>
          <w:szCs w:val="32"/>
        </w:rPr>
        <w:t xml:space="preserve"> 各项目审批单位应当依法为财政性资金投资项目的前期工作开辟“绿色审批通道”，必要时可依照联审联批、限时办结、容缺受理的要求开展审批工作。</w:t>
      </w:r>
    </w:p>
    <w:p w14:paraId="5BFAEAE2">
      <w:pPr>
        <w:widowControl/>
        <w:shd w:val="clear" w:color="auto" w:fill="FFFFFF"/>
        <w:spacing w:after="156" w:afterLines="50" w:line="560" w:lineRule="exact"/>
        <w:jc w:val="center"/>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第四章</w:t>
      </w:r>
      <w:r>
        <w:rPr>
          <w:rFonts w:hint="eastAsia" w:ascii="黑体" w:hAnsi="黑体" w:eastAsia="黑体" w:cs="宋体"/>
          <w:color w:val="auto"/>
          <w:kern w:val="0"/>
          <w:sz w:val="32"/>
          <w:szCs w:val="32"/>
        </w:rPr>
        <w:tab/>
      </w:r>
      <w:r>
        <w:rPr>
          <w:rFonts w:hint="eastAsia" w:ascii="黑体" w:hAnsi="黑体" w:eastAsia="黑体" w:cs="宋体"/>
          <w:color w:val="auto"/>
          <w:kern w:val="0"/>
          <w:sz w:val="32"/>
          <w:szCs w:val="32"/>
        </w:rPr>
        <w:t>预算评审管理</w:t>
      </w:r>
    </w:p>
    <w:p w14:paraId="4A1E85E8">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第二十条</w:t>
      </w:r>
      <w:r>
        <w:rPr>
          <w:rFonts w:hint="eastAsia" w:ascii="仿宋_GB2312" w:hAnsi="仿宋" w:eastAsia="仿宋_GB2312" w:cs="宋体"/>
          <w:color w:val="auto"/>
          <w:kern w:val="0"/>
          <w:sz w:val="32"/>
          <w:szCs w:val="32"/>
        </w:rPr>
        <w:t xml:space="preserve"> 财政部门负责财政性投资项目评审工作。</w:t>
      </w:r>
    </w:p>
    <w:p w14:paraId="321BDAE4">
      <w:pPr>
        <w:widowControl/>
        <w:spacing w:after="156" w:afterLines="50" w:line="560" w:lineRule="exact"/>
        <w:ind w:firstLine="643"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b/>
          <w:bCs/>
          <w:color w:val="auto"/>
          <w:kern w:val="0"/>
          <w:sz w:val="32"/>
          <w:szCs w:val="32"/>
        </w:rPr>
        <w:t>第二十一条</w:t>
      </w:r>
      <w:r>
        <w:rPr>
          <w:rFonts w:hint="eastAsia" w:ascii="仿宋_GB2312" w:hAnsi="仿宋" w:eastAsia="仿宋_GB2312" w:cs="宋体"/>
          <w:color w:val="auto"/>
          <w:kern w:val="0"/>
          <w:sz w:val="32"/>
          <w:szCs w:val="32"/>
        </w:rPr>
        <w:t xml:space="preserve"> 财政性投资项目应当按照“先评审后招标、先审批后变更、先评审后</w:t>
      </w:r>
      <w:r>
        <w:rPr>
          <w:rFonts w:hint="eastAsia" w:ascii="仿宋_GB2312" w:hAnsi="仿宋" w:eastAsia="仿宋_GB2312" w:cs="宋体"/>
          <w:color w:val="auto"/>
          <w:kern w:val="0"/>
          <w:sz w:val="32"/>
          <w:szCs w:val="32"/>
          <w:u w:val="none"/>
        </w:rPr>
        <w:t>结算”程序执行。对建设周期长、投资规模大的项目，可分段提交评审。项目建设单位应遵循保密原则，项目评审资料应由建设单位负责提供，不得由招标代理等第三方公司代为办理。</w:t>
      </w:r>
    </w:p>
    <w:p w14:paraId="4AD6401E">
      <w:pPr>
        <w:widowControl/>
        <w:spacing w:after="156" w:afterLines="50" w:line="560" w:lineRule="exact"/>
        <w:ind w:firstLine="643"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b/>
          <w:bCs/>
          <w:color w:val="auto"/>
          <w:kern w:val="0"/>
          <w:sz w:val="32"/>
          <w:szCs w:val="32"/>
        </w:rPr>
        <w:t>第二十二条</w:t>
      </w:r>
      <w:r>
        <w:rPr>
          <w:rFonts w:hint="eastAsia" w:ascii="仿宋_GB2312" w:hAnsi="仿宋" w:eastAsia="仿宋_GB2312" w:cs="宋体"/>
          <w:color w:val="auto"/>
          <w:kern w:val="0"/>
          <w:sz w:val="32"/>
          <w:szCs w:val="32"/>
        </w:rPr>
        <w:t xml:space="preserve"> 预算评审范围包括：预算资金安排的基本建设项目、政务信息化项目</w:t>
      </w:r>
      <w:r>
        <w:rPr>
          <w:rFonts w:hint="eastAsia" w:ascii="仿宋_GB2312" w:hAnsi="仿宋" w:eastAsia="仿宋_GB2312" w:cs="宋体"/>
          <w:color w:val="auto"/>
          <w:kern w:val="0"/>
          <w:sz w:val="32"/>
          <w:szCs w:val="32"/>
          <w:u w:val="none"/>
        </w:rPr>
        <w:t>；区属国有投资公司投资额400万元（含）以上的基本建设项目。其中：</w:t>
      </w:r>
    </w:p>
    <w:p w14:paraId="1C01A151">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color w:val="auto"/>
          <w:kern w:val="0"/>
          <w:sz w:val="32"/>
          <w:szCs w:val="32"/>
          <w:u w:val="none"/>
        </w:rPr>
        <w:t>（一）投资30万元以下项目，由项目单位按照内控制度自行审核实施；</w:t>
      </w:r>
    </w:p>
    <w:p w14:paraId="3A41017E">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color w:val="auto"/>
          <w:kern w:val="0"/>
          <w:sz w:val="32"/>
          <w:szCs w:val="32"/>
          <w:u w:val="none"/>
        </w:rPr>
        <w:t>（二）投资30万元（含）以上项目，由财政部门预算评审；</w:t>
      </w:r>
    </w:p>
    <w:p w14:paraId="4DE30B99">
      <w:pPr>
        <w:widowControl/>
        <w:shd w:val="clear" w:color="auto" w:fill="FFFFFF"/>
        <w:spacing w:after="156" w:afterLines="50" w:line="560" w:lineRule="exact"/>
        <w:ind w:firstLine="640" w:firstLineChars="200"/>
        <w:jc w:val="left"/>
        <w:rPr>
          <w:rFonts w:hint="eastAsia" w:ascii="仿宋_GB2312" w:hAnsi="仿宋" w:eastAsia="仿宋_GB2312" w:cs="宋体"/>
          <w:color w:val="auto"/>
          <w:kern w:val="0"/>
          <w:sz w:val="32"/>
          <w:szCs w:val="32"/>
          <w:u w:val="none"/>
          <w:lang w:eastAsia="zh-CN"/>
        </w:rPr>
      </w:pPr>
      <w:r>
        <w:rPr>
          <w:rFonts w:hint="eastAsia" w:ascii="仿宋_GB2312" w:hAnsi="仿宋" w:eastAsia="仿宋_GB2312" w:cs="宋体"/>
          <w:color w:val="auto"/>
          <w:kern w:val="0"/>
          <w:sz w:val="32"/>
          <w:szCs w:val="32"/>
          <w:u w:val="none"/>
        </w:rPr>
        <w:t>（三）政府投资项目经下列程序批准后由财政部门进行评审</w:t>
      </w:r>
      <w:r>
        <w:rPr>
          <w:rFonts w:hint="eastAsia" w:ascii="仿宋_GB2312" w:hAnsi="仿宋" w:eastAsia="仿宋_GB2312" w:cs="宋体"/>
          <w:color w:val="auto"/>
          <w:kern w:val="0"/>
          <w:sz w:val="32"/>
          <w:szCs w:val="32"/>
          <w:u w:val="none"/>
          <w:lang w:eastAsia="zh-CN"/>
        </w:rPr>
        <w:t>：</w:t>
      </w:r>
    </w:p>
    <w:p w14:paraId="415E6849">
      <w:pPr>
        <w:widowControl/>
        <w:shd w:val="clear" w:color="auto" w:fill="FFFFFF"/>
        <w:spacing w:after="156" w:afterLines="50" w:line="560" w:lineRule="exact"/>
        <w:ind w:firstLine="640" w:firstLineChars="200"/>
        <w:jc w:val="left"/>
        <w:rPr>
          <w:rFonts w:hint="eastAsia" w:ascii="仿宋_GB2312" w:hAnsi="仿宋" w:eastAsia="仿宋_GB2312" w:cs="宋体"/>
          <w:color w:val="auto"/>
          <w:kern w:val="0"/>
          <w:sz w:val="32"/>
          <w:szCs w:val="32"/>
          <w:u w:val="none"/>
          <w:lang w:eastAsia="zh-CN"/>
        </w:rPr>
      </w:pPr>
      <w:r>
        <w:rPr>
          <w:rFonts w:hint="eastAsia" w:ascii="仿宋_GB2312" w:hAnsi="仿宋" w:eastAsia="仿宋_GB2312" w:cs="宋体"/>
          <w:color w:val="auto"/>
          <w:kern w:val="0"/>
          <w:sz w:val="32"/>
          <w:szCs w:val="32"/>
          <w:u w:val="none"/>
        </w:rPr>
        <w:t>1.区政府研究审议</w:t>
      </w:r>
      <w:r>
        <w:rPr>
          <w:rFonts w:hint="eastAsia" w:ascii="仿宋_GB2312" w:hAnsi="仿宋" w:eastAsia="仿宋_GB2312" w:cs="宋体"/>
          <w:color w:val="auto"/>
          <w:kern w:val="0"/>
          <w:sz w:val="32"/>
          <w:szCs w:val="32"/>
          <w:u w:val="none"/>
          <w:lang w:val="en-US" w:eastAsia="zh-CN"/>
        </w:rPr>
        <w:t>并</w:t>
      </w:r>
      <w:r>
        <w:rPr>
          <w:rFonts w:hint="eastAsia" w:ascii="仿宋_GB2312" w:hAnsi="仿宋" w:eastAsia="仿宋_GB2312" w:cs="宋体"/>
          <w:color w:val="auto"/>
          <w:kern w:val="0"/>
          <w:sz w:val="32"/>
          <w:szCs w:val="32"/>
          <w:u w:val="none"/>
        </w:rPr>
        <w:t>纳入年度投资计划的项目，由项目单位</w:t>
      </w:r>
      <w:r>
        <w:rPr>
          <w:rFonts w:hint="eastAsia" w:ascii="仿宋_GB2312" w:hAnsi="仿宋" w:eastAsia="仿宋_GB2312" w:cs="宋体"/>
          <w:color w:val="auto"/>
          <w:kern w:val="0"/>
          <w:sz w:val="32"/>
          <w:szCs w:val="32"/>
          <w:u w:val="none"/>
          <w:lang w:val="en-US" w:eastAsia="zh-CN"/>
        </w:rPr>
        <w:t>填报</w:t>
      </w:r>
      <w:r>
        <w:rPr>
          <w:rFonts w:hint="eastAsia" w:ascii="仿宋_GB2312" w:hAnsi="仿宋" w:eastAsia="仿宋_GB2312" w:cs="宋体"/>
          <w:color w:val="auto"/>
          <w:kern w:val="0"/>
          <w:sz w:val="32"/>
          <w:szCs w:val="32"/>
          <w:u w:val="none"/>
        </w:rPr>
        <w:t>政府投资项目审批表，报</w:t>
      </w:r>
      <w:r>
        <w:rPr>
          <w:rFonts w:hint="eastAsia" w:ascii="仿宋_GB2312" w:hAnsi="仿宋" w:eastAsia="仿宋_GB2312" w:cs="宋体"/>
          <w:color w:val="auto"/>
          <w:kern w:val="0"/>
          <w:sz w:val="32"/>
          <w:szCs w:val="32"/>
          <w:u w:val="none"/>
          <w:lang w:val="en-US" w:eastAsia="zh-CN"/>
        </w:rPr>
        <w:t>送</w:t>
      </w:r>
      <w:r>
        <w:rPr>
          <w:rFonts w:hint="eastAsia" w:ascii="仿宋_GB2312" w:hAnsi="仿宋" w:eastAsia="仿宋_GB2312" w:cs="宋体"/>
          <w:color w:val="auto"/>
          <w:kern w:val="0"/>
          <w:sz w:val="32"/>
          <w:szCs w:val="32"/>
          <w:u w:val="none"/>
        </w:rPr>
        <w:t>分管副区长、常务副区长审批</w:t>
      </w:r>
      <w:r>
        <w:rPr>
          <w:rFonts w:hint="eastAsia" w:ascii="仿宋_GB2312" w:hAnsi="仿宋" w:eastAsia="仿宋_GB2312" w:cs="宋体"/>
          <w:color w:val="auto"/>
          <w:kern w:val="0"/>
          <w:sz w:val="32"/>
          <w:szCs w:val="32"/>
          <w:u w:val="none"/>
          <w:lang w:eastAsia="zh-CN"/>
        </w:rPr>
        <w:t>；</w:t>
      </w:r>
    </w:p>
    <w:p w14:paraId="24502082">
      <w:pPr>
        <w:widowControl/>
        <w:shd w:val="clear" w:color="auto" w:fill="FFFFFF"/>
        <w:spacing w:after="156" w:afterLines="50" w:line="560" w:lineRule="exact"/>
        <w:ind w:firstLine="640" w:firstLineChars="200"/>
        <w:jc w:val="left"/>
        <w:rPr>
          <w:rFonts w:hint="eastAsia" w:ascii="仿宋_GB2312" w:hAnsi="仿宋" w:eastAsia="仿宋_GB2312" w:cs="宋体"/>
          <w:color w:val="auto"/>
          <w:kern w:val="0"/>
          <w:sz w:val="32"/>
          <w:szCs w:val="32"/>
          <w:u w:val="none"/>
          <w:lang w:eastAsia="zh-CN"/>
        </w:rPr>
      </w:pPr>
      <w:r>
        <w:rPr>
          <w:rFonts w:hint="eastAsia" w:ascii="仿宋_GB2312" w:hAnsi="仿宋" w:eastAsia="仿宋_GB2312" w:cs="宋体"/>
          <w:color w:val="auto"/>
          <w:kern w:val="0"/>
          <w:sz w:val="32"/>
          <w:szCs w:val="32"/>
          <w:u w:val="none"/>
        </w:rPr>
        <w:t>2. 对于未纳入年度投资计划、需由区政府统筹安排实施的项目，审批规定如下：项目总投资 30 万元（含）及以上的，由项目单位</w:t>
      </w:r>
      <w:r>
        <w:rPr>
          <w:rFonts w:hint="eastAsia" w:ascii="仿宋_GB2312" w:hAnsi="仿宋" w:eastAsia="仿宋_GB2312" w:cs="宋体"/>
          <w:color w:val="auto"/>
          <w:kern w:val="0"/>
          <w:sz w:val="32"/>
          <w:szCs w:val="32"/>
          <w:u w:val="none"/>
          <w:lang w:val="en-US" w:eastAsia="zh-CN"/>
        </w:rPr>
        <w:t>填报</w:t>
      </w:r>
      <w:r>
        <w:rPr>
          <w:rFonts w:hint="eastAsia" w:ascii="仿宋_GB2312" w:hAnsi="仿宋" w:eastAsia="仿宋_GB2312" w:cs="宋体"/>
          <w:color w:val="auto"/>
          <w:kern w:val="0"/>
          <w:sz w:val="32"/>
          <w:szCs w:val="32"/>
          <w:u w:val="none"/>
        </w:rPr>
        <w:t>政府投资项目审批表，报送分管副区长、常务副区长审批。项目总投资 400 万元（含）至 1000 万元</w:t>
      </w:r>
      <w:r>
        <w:rPr>
          <w:rFonts w:hint="eastAsia" w:ascii="仿宋_GB2312" w:hAnsi="仿宋" w:eastAsia="仿宋_GB2312" w:cs="宋体"/>
          <w:color w:val="auto"/>
          <w:kern w:val="0"/>
          <w:sz w:val="32"/>
          <w:szCs w:val="32"/>
          <w:u w:val="none"/>
          <w:lang w:eastAsia="zh-CN"/>
        </w:rPr>
        <w:t>（</w:t>
      </w:r>
      <w:r>
        <w:rPr>
          <w:rFonts w:hint="eastAsia" w:ascii="仿宋_GB2312" w:hAnsi="仿宋" w:eastAsia="仿宋_GB2312" w:cs="宋体"/>
          <w:color w:val="auto"/>
          <w:kern w:val="0"/>
          <w:sz w:val="32"/>
          <w:szCs w:val="32"/>
          <w:u w:val="none"/>
          <w:lang w:val="en-US" w:eastAsia="zh-CN"/>
        </w:rPr>
        <w:t>不含</w:t>
      </w:r>
      <w:r>
        <w:rPr>
          <w:rFonts w:hint="eastAsia" w:ascii="仿宋_GB2312" w:hAnsi="仿宋" w:eastAsia="仿宋_GB2312" w:cs="宋体"/>
          <w:color w:val="auto"/>
          <w:kern w:val="0"/>
          <w:sz w:val="32"/>
          <w:szCs w:val="32"/>
          <w:u w:val="none"/>
          <w:lang w:eastAsia="zh-CN"/>
        </w:rPr>
        <w:t>）</w:t>
      </w:r>
      <w:r>
        <w:rPr>
          <w:rFonts w:hint="eastAsia" w:ascii="仿宋_GB2312" w:hAnsi="仿宋" w:eastAsia="仿宋_GB2312" w:cs="宋体"/>
          <w:color w:val="auto"/>
          <w:kern w:val="0"/>
          <w:sz w:val="32"/>
          <w:szCs w:val="32"/>
          <w:u w:val="none"/>
        </w:rPr>
        <w:t>的，在前述审批程序基础上，</w:t>
      </w:r>
      <w:r>
        <w:rPr>
          <w:rFonts w:hint="eastAsia" w:ascii="仿宋_GB2312" w:hAnsi="仿宋" w:eastAsia="仿宋_GB2312" w:cs="宋体"/>
          <w:color w:val="auto"/>
          <w:kern w:val="0"/>
          <w:sz w:val="32"/>
          <w:szCs w:val="32"/>
          <w:u w:val="none"/>
          <w:lang w:val="en-US" w:eastAsia="zh-CN"/>
        </w:rPr>
        <w:t>须先</w:t>
      </w:r>
      <w:r>
        <w:rPr>
          <w:rFonts w:hint="eastAsia" w:ascii="仿宋_GB2312" w:hAnsi="仿宋" w:eastAsia="仿宋_GB2312" w:cs="宋体"/>
          <w:color w:val="auto"/>
          <w:kern w:val="0"/>
          <w:sz w:val="32"/>
          <w:szCs w:val="32"/>
          <w:u w:val="none"/>
        </w:rPr>
        <w:t>提请区长办公会研究审定；项目总投资 1000 万元（含）及以上的，</w:t>
      </w:r>
      <w:r>
        <w:rPr>
          <w:rFonts w:hint="eastAsia" w:ascii="仿宋_GB2312" w:hAnsi="仿宋" w:eastAsia="仿宋_GB2312" w:cs="宋体"/>
          <w:color w:val="auto"/>
          <w:kern w:val="0"/>
          <w:sz w:val="32"/>
          <w:szCs w:val="32"/>
          <w:u w:val="none"/>
          <w:lang w:val="en-US" w:eastAsia="zh-CN"/>
        </w:rPr>
        <w:t>须先</w:t>
      </w:r>
      <w:r>
        <w:rPr>
          <w:rFonts w:hint="eastAsia" w:ascii="仿宋_GB2312" w:hAnsi="仿宋" w:eastAsia="仿宋_GB2312" w:cs="宋体"/>
          <w:color w:val="auto"/>
          <w:kern w:val="0"/>
          <w:sz w:val="32"/>
          <w:szCs w:val="32"/>
          <w:u w:val="none"/>
        </w:rPr>
        <w:t>提请区政府常务会议研究审定</w:t>
      </w:r>
      <w:r>
        <w:rPr>
          <w:rFonts w:hint="eastAsia" w:ascii="仿宋_GB2312" w:hAnsi="仿宋" w:eastAsia="仿宋_GB2312" w:cs="宋体"/>
          <w:color w:val="auto"/>
          <w:kern w:val="0"/>
          <w:sz w:val="32"/>
          <w:szCs w:val="32"/>
          <w:u w:val="none"/>
          <w:lang w:eastAsia="zh-CN"/>
        </w:rPr>
        <w:t>；</w:t>
      </w:r>
    </w:p>
    <w:p w14:paraId="37E93816">
      <w:pPr>
        <w:widowControl/>
        <w:shd w:val="clear" w:color="auto" w:fill="FFFFFF"/>
        <w:spacing w:after="156" w:afterLines="50" w:line="560" w:lineRule="exact"/>
        <w:ind w:firstLine="640" w:firstLineChars="200"/>
        <w:jc w:val="left"/>
        <w:rPr>
          <w:rFonts w:hint="eastAsia" w:ascii="仿宋_GB2312" w:hAnsi="仿宋" w:eastAsia="仿宋_GB2312" w:cs="宋体"/>
          <w:color w:val="auto"/>
          <w:kern w:val="0"/>
          <w:sz w:val="32"/>
          <w:szCs w:val="32"/>
          <w:highlight w:val="none"/>
          <w:u w:val="none"/>
          <w:lang w:eastAsia="zh-CN"/>
        </w:rPr>
      </w:pPr>
      <w:r>
        <w:rPr>
          <w:rFonts w:hint="eastAsia" w:ascii="仿宋_GB2312" w:hAnsi="仿宋" w:eastAsia="仿宋_GB2312" w:cs="宋体"/>
          <w:color w:val="auto"/>
          <w:kern w:val="0"/>
          <w:sz w:val="32"/>
          <w:szCs w:val="32"/>
          <w:u w:val="none"/>
        </w:rPr>
        <w:t>3.“两重两新”和中央预算内资金等项</w:t>
      </w:r>
      <w:r>
        <w:rPr>
          <w:rFonts w:hint="eastAsia" w:ascii="仿宋_GB2312" w:hAnsi="仿宋" w:eastAsia="仿宋_GB2312" w:cs="宋体"/>
          <w:color w:val="auto"/>
          <w:kern w:val="0"/>
          <w:sz w:val="32"/>
          <w:szCs w:val="32"/>
          <w:highlight w:val="none"/>
          <w:u w:val="none"/>
        </w:rPr>
        <w:t>目，</w:t>
      </w:r>
      <w:bookmarkStart w:id="1" w:name="_Hlk224294072"/>
      <w:r>
        <w:rPr>
          <w:rFonts w:hint="eastAsia" w:ascii="仿宋_GB2312" w:hAnsi="仿宋" w:eastAsia="仿宋_GB2312" w:cs="宋体"/>
          <w:color w:val="auto"/>
          <w:kern w:val="0"/>
          <w:sz w:val="32"/>
          <w:szCs w:val="32"/>
          <w:highlight w:val="none"/>
          <w:u w:val="none"/>
        </w:rPr>
        <w:t>凡上级有明确规定的，按照上级规定文件执行</w:t>
      </w:r>
      <w:r>
        <w:rPr>
          <w:rFonts w:hint="eastAsia" w:ascii="仿宋_GB2312" w:hAnsi="仿宋" w:eastAsia="仿宋_GB2312" w:cs="宋体"/>
          <w:color w:val="auto"/>
          <w:kern w:val="0"/>
          <w:sz w:val="32"/>
          <w:szCs w:val="32"/>
          <w:highlight w:val="none"/>
          <w:u w:val="none"/>
          <w:lang w:eastAsia="zh-CN"/>
        </w:rPr>
        <w:t>；</w:t>
      </w:r>
    </w:p>
    <w:bookmarkEnd w:id="1"/>
    <w:p w14:paraId="18392C98">
      <w:pPr>
        <w:widowControl/>
        <w:shd w:val="clear" w:color="auto" w:fill="FFFFFF"/>
        <w:spacing w:after="156" w:afterLines="50" w:line="560" w:lineRule="exact"/>
        <w:ind w:firstLine="640" w:firstLineChars="200"/>
        <w:jc w:val="left"/>
        <w:rPr>
          <w:rFonts w:hint="eastAsia" w:ascii="仿宋_GB2312" w:hAnsi="仿宋" w:eastAsia="仿宋_GB2312" w:cs="宋体"/>
          <w:color w:val="auto"/>
          <w:kern w:val="0"/>
          <w:sz w:val="32"/>
          <w:szCs w:val="32"/>
          <w:u w:val="none"/>
          <w:lang w:eastAsia="zh-CN"/>
        </w:rPr>
      </w:pPr>
      <w:r>
        <w:rPr>
          <w:rFonts w:hint="eastAsia" w:ascii="仿宋_GB2312" w:hAnsi="仿宋" w:eastAsia="仿宋_GB2312" w:cs="宋体"/>
          <w:color w:val="auto"/>
          <w:kern w:val="0"/>
          <w:sz w:val="32"/>
          <w:szCs w:val="32"/>
          <w:u w:val="none"/>
        </w:rPr>
        <w:t>4.往年正在实施的延续性项目，无需报区政府常务会或区长办公会审批，但仍需签批政府投资项目审批表</w:t>
      </w:r>
      <w:r>
        <w:rPr>
          <w:rFonts w:hint="eastAsia" w:ascii="仿宋_GB2312" w:hAnsi="仿宋" w:eastAsia="仿宋_GB2312" w:cs="宋体"/>
          <w:color w:val="auto"/>
          <w:kern w:val="0"/>
          <w:sz w:val="32"/>
          <w:szCs w:val="32"/>
          <w:u w:val="none"/>
          <w:lang w:eastAsia="zh-CN"/>
        </w:rPr>
        <w:t>。</w:t>
      </w:r>
    </w:p>
    <w:p w14:paraId="7470B158">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第二十三条</w:t>
      </w:r>
      <w:r>
        <w:rPr>
          <w:rFonts w:hint="eastAsia" w:ascii="仿宋_GB2312" w:hAnsi="仿宋" w:eastAsia="仿宋_GB2312" w:cs="宋体"/>
          <w:color w:val="auto"/>
          <w:kern w:val="0"/>
          <w:sz w:val="32"/>
          <w:szCs w:val="32"/>
        </w:rPr>
        <w:t xml:space="preserve"> 财政部门应依据法律法规及建筑施工规范，加强与项目单位、</w:t>
      </w:r>
      <w:r>
        <w:rPr>
          <w:rFonts w:hint="eastAsia" w:ascii="仿宋_GB2312" w:hAnsi="仿宋" w:eastAsia="仿宋_GB2312" w:cs="宋体"/>
          <w:color w:val="auto"/>
          <w:kern w:val="0"/>
          <w:sz w:val="32"/>
          <w:szCs w:val="32"/>
          <w:lang w:val="en-US" w:eastAsia="zh-CN"/>
        </w:rPr>
        <w:t>发改</w:t>
      </w:r>
      <w:r>
        <w:rPr>
          <w:rFonts w:hint="eastAsia" w:ascii="仿宋_GB2312" w:hAnsi="仿宋" w:eastAsia="仿宋_GB2312" w:cs="宋体"/>
          <w:color w:val="auto"/>
          <w:kern w:val="0"/>
          <w:sz w:val="32"/>
          <w:szCs w:val="32"/>
        </w:rPr>
        <w:t>、</w:t>
      </w:r>
      <w:r>
        <w:rPr>
          <w:rFonts w:hint="eastAsia" w:ascii="仿宋_GB2312" w:hAnsi="仿宋" w:eastAsia="仿宋_GB2312" w:cs="宋体"/>
          <w:color w:val="auto"/>
          <w:kern w:val="0"/>
          <w:sz w:val="32"/>
          <w:szCs w:val="32"/>
          <w:lang w:val="en-US" w:eastAsia="zh-CN"/>
        </w:rPr>
        <w:t>住建</w:t>
      </w:r>
      <w:r>
        <w:rPr>
          <w:rFonts w:hint="eastAsia" w:ascii="仿宋_GB2312" w:hAnsi="仿宋" w:eastAsia="仿宋_GB2312" w:cs="宋体"/>
          <w:color w:val="auto"/>
          <w:kern w:val="0"/>
          <w:sz w:val="32"/>
          <w:szCs w:val="32"/>
        </w:rPr>
        <w:t>、审计等部门的沟通协作，对项目造价进行准确、客观的评审。</w:t>
      </w:r>
    </w:p>
    <w:p w14:paraId="285EB5DD">
      <w:pPr>
        <w:widowControl/>
        <w:numPr>
          <w:ilvl w:val="0"/>
          <w:numId w:val="1"/>
        </w:numPr>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强化项目单位报审管理。项目预算资料送审前，项目单位应对报审内容进行把关审核。项目单位要做到事实清晰、依据充分，并对所出具的证明材料的真实性与合规性负责。</w:t>
      </w:r>
    </w:p>
    <w:p w14:paraId="5C01DDC4">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（二）严格评审实施过程管理</w:t>
      </w:r>
      <w:r>
        <w:rPr>
          <w:rFonts w:hint="eastAsia" w:ascii="仿宋_GB2312" w:hAnsi="仿宋" w:eastAsia="仿宋_GB2312" w:cs="宋体"/>
          <w:color w:val="auto"/>
          <w:kern w:val="0"/>
          <w:sz w:val="32"/>
          <w:szCs w:val="32"/>
          <w:lang w:eastAsia="zh-CN"/>
        </w:rPr>
        <w:t>。</w:t>
      </w:r>
    </w:p>
    <w:p w14:paraId="01E4E449">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1.财政部门在选取中介机构时，应遵循“公开、公平、公正”原则，确保选取过程公开透明且可追溯；</w:t>
      </w:r>
    </w:p>
    <w:p w14:paraId="3EA32922">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2.对于工程量核准、价格信息确认、定额套取等核心环节，财政部门应结合现场勘查情况，借助造价软件、工程量计价规范，通过建立数学模型等方式进行精准核算，并在此基础上，综合《许昌建设工程造价信息》发布材料价格、施工企业合理利润等</w:t>
      </w:r>
      <w:r>
        <w:rPr>
          <w:rFonts w:hint="eastAsia" w:ascii="仿宋_GB2312" w:hAnsi="仿宋" w:eastAsia="仿宋_GB2312" w:cs="宋体"/>
          <w:color w:val="auto"/>
          <w:kern w:val="0"/>
          <w:sz w:val="32"/>
          <w:szCs w:val="32"/>
          <w:lang w:val="en-US" w:eastAsia="zh-CN"/>
        </w:rPr>
        <w:t>要素，科学</w:t>
      </w:r>
      <w:r>
        <w:rPr>
          <w:rFonts w:hint="eastAsia" w:ascii="仿宋_GB2312" w:hAnsi="仿宋" w:eastAsia="仿宋_GB2312" w:cs="宋体"/>
          <w:color w:val="auto"/>
          <w:kern w:val="0"/>
          <w:sz w:val="32"/>
          <w:szCs w:val="32"/>
        </w:rPr>
        <w:t>合理</w:t>
      </w:r>
      <w:r>
        <w:rPr>
          <w:rFonts w:hint="eastAsia" w:ascii="仿宋_GB2312" w:hAnsi="仿宋" w:eastAsia="仿宋_GB2312" w:cs="宋体"/>
          <w:color w:val="auto"/>
          <w:kern w:val="0"/>
          <w:sz w:val="32"/>
          <w:szCs w:val="32"/>
          <w:lang w:val="en-US" w:eastAsia="zh-CN"/>
        </w:rPr>
        <w:t>核定项目</w:t>
      </w:r>
      <w:r>
        <w:rPr>
          <w:rFonts w:hint="eastAsia" w:ascii="仿宋_GB2312" w:hAnsi="仿宋" w:eastAsia="仿宋_GB2312" w:cs="宋体"/>
          <w:color w:val="auto"/>
          <w:kern w:val="0"/>
          <w:sz w:val="32"/>
          <w:szCs w:val="32"/>
        </w:rPr>
        <w:t>审定金额；</w:t>
      </w:r>
    </w:p>
    <w:p w14:paraId="78D8701A">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3.严格落实三级复审制度等内控措施，对评审中出现的争议事项，应当召集项目单位、行业专家或注册造价师等人员会商研究确定</w:t>
      </w:r>
      <w:r>
        <w:rPr>
          <w:rFonts w:hint="eastAsia" w:ascii="仿宋_GB2312" w:hAnsi="仿宋" w:eastAsia="仿宋_GB2312" w:cs="宋体"/>
          <w:color w:val="auto"/>
          <w:kern w:val="0"/>
          <w:sz w:val="32"/>
          <w:szCs w:val="32"/>
          <w:lang w:eastAsia="zh-CN"/>
        </w:rPr>
        <w:t>。</w:t>
      </w:r>
    </w:p>
    <w:p w14:paraId="70BCDD09">
      <w:pPr>
        <w:widowControl/>
        <w:shd w:val="clear" w:color="auto" w:fill="FFFFFF"/>
        <w:spacing w:after="156" w:afterLines="50" w:line="560" w:lineRule="exact"/>
        <w:ind w:firstLine="640" w:firstLineChars="200"/>
        <w:jc w:val="left"/>
        <w:rPr>
          <w:rFonts w:hint="eastAsia" w:ascii="仿宋_GB2312" w:hAnsi="仿宋" w:eastAsia="仿宋_GB2312" w:cs="宋体"/>
          <w:color w:val="auto"/>
          <w:kern w:val="0"/>
          <w:sz w:val="32"/>
          <w:szCs w:val="32"/>
          <w:u w:val="single"/>
        </w:rPr>
      </w:pPr>
      <w:r>
        <w:rPr>
          <w:rFonts w:hint="eastAsia" w:ascii="仿宋_GB2312" w:hAnsi="仿宋" w:eastAsia="仿宋_GB2312" w:cs="宋体"/>
          <w:color w:val="auto"/>
          <w:kern w:val="0"/>
          <w:sz w:val="32"/>
          <w:szCs w:val="32"/>
          <w:u w:val="none"/>
        </w:rPr>
        <w:t>（三</w:t>
      </w:r>
      <w:r>
        <w:rPr>
          <w:rFonts w:hint="eastAsia" w:ascii="仿宋_GB2312" w:hAnsi="仿宋" w:eastAsia="仿宋_GB2312" w:cs="宋体"/>
          <w:color w:val="auto"/>
          <w:kern w:val="0"/>
          <w:sz w:val="32"/>
          <w:szCs w:val="32"/>
          <w:highlight w:val="none"/>
          <w:u w:val="none"/>
        </w:rPr>
        <w:t>）项目单位应加快政府投资项目实施进度，自评审结论出具之日起，六个月内完成政府采购、招投标等程序；逾期未完成的，须重新履行项目评审报送程序。</w:t>
      </w:r>
    </w:p>
    <w:p w14:paraId="22EBFBD7">
      <w:pPr>
        <w:widowControl/>
        <w:shd w:val="clear" w:color="auto" w:fill="FFFFFF"/>
        <w:spacing w:after="156" w:afterLines="50" w:line="560" w:lineRule="exact"/>
        <w:jc w:val="center"/>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第五章</w:t>
      </w:r>
      <w:r>
        <w:rPr>
          <w:rFonts w:hint="eastAsia" w:ascii="黑体" w:hAnsi="黑体" w:eastAsia="黑体" w:cs="宋体"/>
          <w:color w:val="auto"/>
          <w:kern w:val="0"/>
          <w:sz w:val="32"/>
          <w:szCs w:val="32"/>
        </w:rPr>
        <w:tab/>
      </w:r>
      <w:r>
        <w:rPr>
          <w:rFonts w:hint="eastAsia" w:ascii="黑体" w:hAnsi="黑体" w:eastAsia="黑体" w:cs="宋体"/>
          <w:color w:val="auto"/>
          <w:kern w:val="0"/>
          <w:sz w:val="32"/>
          <w:szCs w:val="32"/>
        </w:rPr>
        <w:t>会议研究决定</w:t>
      </w:r>
    </w:p>
    <w:p w14:paraId="365AE692">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第二十四条</w:t>
      </w:r>
      <w:r>
        <w:rPr>
          <w:rFonts w:hint="eastAsia" w:ascii="仿宋_GB2312" w:hAnsi="仿宋" w:eastAsia="仿宋_GB2312" w:cs="宋体"/>
          <w:color w:val="auto"/>
          <w:kern w:val="0"/>
          <w:sz w:val="32"/>
          <w:szCs w:val="32"/>
        </w:rPr>
        <w:t xml:space="preserve"> 项目单位应当严格执行会议研究决策机制，按照规定权限报批项目后组织实施。</w:t>
      </w:r>
    </w:p>
    <w:p w14:paraId="53E557B0">
      <w:pPr>
        <w:widowControl/>
        <w:spacing w:line="240" w:lineRule="auto"/>
        <w:ind w:firstLine="640" w:firstLineChars="200"/>
        <w:jc w:val="left"/>
        <w:rPr>
          <w:rFonts w:hint="eastAsia" w:ascii="仿宋_GB2312" w:hAnsi="仿宋" w:eastAsia="仿宋_GB2312" w:cs="宋体"/>
          <w:color w:val="auto"/>
          <w:kern w:val="0"/>
          <w:sz w:val="32"/>
          <w:szCs w:val="32"/>
          <w:u w:val="none"/>
          <w:lang w:val="en-US" w:eastAsia="zh-CN"/>
        </w:rPr>
      </w:pPr>
      <w:r>
        <w:rPr>
          <w:rFonts w:hint="eastAsia" w:ascii="仿宋_GB2312" w:hAnsi="仿宋" w:eastAsia="仿宋_GB2312" w:cs="宋体"/>
          <w:color w:val="auto"/>
          <w:kern w:val="0"/>
          <w:sz w:val="32"/>
          <w:szCs w:val="32"/>
          <w:u w:val="none"/>
        </w:rPr>
        <w:t>（一）30万元（不含）以下基本建设项目：项目单位须制定详细的建设计划与实施方案，针对项目实施的必要性、可行性、科学性展开充分论证，并履行单位集体决策程序后组织实施</w:t>
      </w:r>
      <w:r>
        <w:rPr>
          <w:rFonts w:hint="eastAsia" w:ascii="仿宋_GB2312" w:hAnsi="仿宋" w:eastAsia="仿宋_GB2312" w:cs="宋体"/>
          <w:color w:val="auto"/>
          <w:kern w:val="0"/>
          <w:sz w:val="32"/>
          <w:szCs w:val="32"/>
          <w:u w:val="none"/>
          <w:lang w:eastAsia="zh-CN"/>
        </w:rPr>
        <w:t>；</w:t>
      </w:r>
    </w:p>
    <w:p w14:paraId="30A30604">
      <w:pPr>
        <w:widowControl/>
        <w:spacing w:line="240" w:lineRule="auto"/>
        <w:ind w:firstLine="640" w:firstLineChars="200"/>
        <w:jc w:val="left"/>
        <w:rPr>
          <w:rFonts w:hint="eastAsia" w:ascii="仿宋_GB2312" w:hAnsi="仿宋" w:eastAsia="仿宋_GB2312" w:cs="宋体"/>
          <w:color w:val="auto"/>
          <w:kern w:val="0"/>
          <w:sz w:val="32"/>
          <w:szCs w:val="32"/>
          <w:lang w:val="en-US" w:eastAsia="zh-CN"/>
        </w:rPr>
      </w:pPr>
      <w:r>
        <w:rPr>
          <w:rFonts w:hint="eastAsia" w:ascii="仿宋_GB2312" w:hAnsi="仿宋" w:eastAsia="仿宋_GB2312" w:cs="宋体"/>
          <w:color w:val="auto"/>
          <w:kern w:val="0"/>
          <w:sz w:val="32"/>
          <w:szCs w:val="32"/>
        </w:rPr>
        <w:t>（二）</w:t>
      </w:r>
      <w:r>
        <w:rPr>
          <w:rFonts w:hint="eastAsia" w:ascii="仿宋_GB2312" w:hAnsi="仿宋" w:eastAsia="仿宋_GB2312" w:cs="宋体"/>
          <w:color w:val="auto"/>
          <w:kern w:val="0"/>
          <w:sz w:val="32"/>
          <w:szCs w:val="32"/>
          <w:u w:val="none"/>
        </w:rPr>
        <w:t>30万元</w:t>
      </w:r>
      <w:r>
        <w:rPr>
          <w:rFonts w:hint="eastAsia" w:ascii="仿宋_GB2312" w:hAnsi="仿宋" w:eastAsia="仿宋_GB2312" w:cs="宋体"/>
          <w:color w:val="auto"/>
          <w:kern w:val="0"/>
          <w:sz w:val="32"/>
          <w:szCs w:val="32"/>
          <w:u w:val="none"/>
          <w:lang w:eastAsia="zh-CN"/>
        </w:rPr>
        <w:t>（含）—</w:t>
      </w:r>
      <w:r>
        <w:rPr>
          <w:rFonts w:hint="eastAsia" w:ascii="仿宋_GB2312" w:hAnsi="仿宋" w:eastAsia="仿宋_GB2312" w:cs="宋体"/>
          <w:color w:val="auto"/>
          <w:kern w:val="0"/>
          <w:sz w:val="32"/>
          <w:szCs w:val="32"/>
          <w:u w:val="none"/>
        </w:rPr>
        <w:t>400万元</w:t>
      </w:r>
      <w:r>
        <w:rPr>
          <w:rFonts w:hint="eastAsia" w:ascii="仿宋_GB2312" w:hAnsi="仿宋" w:eastAsia="仿宋_GB2312" w:cs="宋体"/>
          <w:color w:val="auto"/>
          <w:kern w:val="0"/>
          <w:sz w:val="32"/>
          <w:szCs w:val="32"/>
          <w:u w:val="none"/>
          <w:lang w:eastAsia="zh-CN"/>
        </w:rPr>
        <w:t>（</w:t>
      </w:r>
      <w:r>
        <w:rPr>
          <w:rFonts w:hint="eastAsia" w:ascii="仿宋_GB2312" w:hAnsi="仿宋" w:eastAsia="仿宋_GB2312" w:cs="宋体"/>
          <w:color w:val="auto"/>
          <w:kern w:val="0"/>
          <w:sz w:val="32"/>
          <w:szCs w:val="32"/>
          <w:u w:val="none"/>
          <w:lang w:val="en-US" w:eastAsia="zh-CN"/>
        </w:rPr>
        <w:t>不含</w:t>
      </w:r>
      <w:r>
        <w:rPr>
          <w:rFonts w:hint="eastAsia" w:ascii="仿宋_GB2312" w:hAnsi="仿宋" w:eastAsia="仿宋_GB2312" w:cs="宋体"/>
          <w:color w:val="auto"/>
          <w:kern w:val="0"/>
          <w:sz w:val="32"/>
          <w:szCs w:val="32"/>
          <w:u w:val="none"/>
          <w:lang w:eastAsia="zh-CN"/>
        </w:rPr>
        <w:t>）</w:t>
      </w:r>
      <w:r>
        <w:rPr>
          <w:rFonts w:hint="eastAsia" w:ascii="仿宋_GB2312" w:hAnsi="仿宋" w:eastAsia="仿宋_GB2312" w:cs="宋体"/>
          <w:color w:val="auto"/>
          <w:kern w:val="0"/>
          <w:sz w:val="32"/>
          <w:szCs w:val="32"/>
          <w:u w:val="none"/>
        </w:rPr>
        <w:t>以</w:t>
      </w:r>
      <w:r>
        <w:rPr>
          <w:rFonts w:hint="eastAsia" w:ascii="仿宋_GB2312" w:hAnsi="仿宋" w:eastAsia="仿宋_GB2312" w:cs="宋体"/>
          <w:color w:val="auto"/>
          <w:kern w:val="0"/>
          <w:sz w:val="32"/>
          <w:szCs w:val="32"/>
        </w:rPr>
        <w:t>下基本建设项目：项目单位应按规定将项目报财政部门开展预算评审；项目招投标工作须在公共资源交易中心规范进行，其中符合非公开招标条件的，应按规定程序执行；项目各重点环节工作开始前，项目单位应向单位派驻纪检监察组报备并接受监督</w:t>
      </w:r>
      <w:r>
        <w:rPr>
          <w:rFonts w:hint="eastAsia" w:ascii="仿宋_GB2312" w:hAnsi="仿宋" w:eastAsia="仿宋_GB2312" w:cs="宋体"/>
          <w:color w:val="auto"/>
          <w:kern w:val="0"/>
          <w:sz w:val="32"/>
          <w:szCs w:val="32"/>
          <w:lang w:eastAsia="zh-CN"/>
        </w:rPr>
        <w:t>；</w:t>
      </w:r>
    </w:p>
    <w:p w14:paraId="70BD0ED3">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（三）400万元（含）以上基本建设项目：项目单位</w:t>
      </w:r>
      <w:bookmarkStart w:id="2" w:name="_Hlk224294384"/>
      <w:r>
        <w:rPr>
          <w:rFonts w:hint="eastAsia" w:ascii="仿宋_GB2312" w:hAnsi="仿宋" w:eastAsia="仿宋_GB2312" w:cs="宋体"/>
          <w:color w:val="auto"/>
          <w:kern w:val="0"/>
          <w:sz w:val="32"/>
          <w:szCs w:val="32"/>
        </w:rPr>
        <w:t>除履行本条第（二）项规定的备案程序外，</w:t>
      </w:r>
      <w:bookmarkEnd w:id="2"/>
      <w:r>
        <w:rPr>
          <w:rFonts w:hint="eastAsia" w:ascii="仿宋_GB2312" w:hAnsi="仿宋" w:eastAsia="仿宋_GB2312" w:cs="宋体"/>
          <w:color w:val="auto"/>
          <w:kern w:val="0"/>
          <w:sz w:val="32"/>
          <w:szCs w:val="32"/>
        </w:rPr>
        <w:t>还应组织专家对项目实施的必要性、可行性、科学性进行论证，之后纳入投资计划管理。</w:t>
      </w:r>
    </w:p>
    <w:p w14:paraId="5FC9DF09">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第二十五条</w:t>
      </w:r>
      <w:r>
        <w:rPr>
          <w:rFonts w:hint="eastAsia" w:ascii="仿宋_GB2312" w:hAnsi="仿宋" w:eastAsia="仿宋_GB2312" w:cs="宋体"/>
          <w:color w:val="auto"/>
          <w:kern w:val="0"/>
          <w:sz w:val="32"/>
          <w:szCs w:val="32"/>
        </w:rPr>
        <w:t xml:space="preserve"> 经区政府批准实施的重大建设项目，项目单位通过集体会议确定项目负责人、代理机构选取方式、项目建设方案、工期安排等内容。项目实施过程中，若需调整建设内容或预算，必须重新履行审批程序，并同步向单位派驻纪检监察组备案。</w:t>
      </w:r>
    </w:p>
    <w:p w14:paraId="1694973E">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第二十六条</w:t>
      </w:r>
      <w:r>
        <w:rPr>
          <w:rFonts w:hint="eastAsia" w:ascii="仿宋_GB2312" w:hAnsi="仿宋" w:eastAsia="仿宋_GB2312" w:cs="宋体"/>
          <w:color w:val="auto"/>
          <w:kern w:val="0"/>
          <w:sz w:val="32"/>
          <w:szCs w:val="32"/>
        </w:rPr>
        <w:t xml:space="preserve"> 建立项目动态公开监督机制。项目单位应通过集中会议等形式，定期听取各参建单位关于工程进度、质量安全、投资控制等方面工作的汇报，系统梳理存在的问题，督促责任单位全面整改落实。</w:t>
      </w:r>
    </w:p>
    <w:p w14:paraId="2333C3EF">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第二十七条</w:t>
      </w:r>
      <w:r>
        <w:rPr>
          <w:rFonts w:hint="eastAsia" w:ascii="仿宋_GB2312" w:hAnsi="仿宋" w:eastAsia="仿宋_GB2312" w:cs="宋体"/>
          <w:color w:val="auto"/>
          <w:kern w:val="0"/>
          <w:sz w:val="32"/>
          <w:szCs w:val="32"/>
        </w:rPr>
        <w:t xml:space="preserve"> 项目实施过程中，项目单位应定期组织专业技术人员和管理人员，结合项目建设各阶段特点及现场实际情况，以集中会议形式分析研判潜在风险，健全覆盖风险识别、评估、预警、处置全流程的管理机制，明确各环节责任主体、操作规范及响应时限，确保项目按既定目标优质高效推进。</w:t>
      </w:r>
    </w:p>
    <w:p w14:paraId="49830069">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第二十八条</w:t>
      </w:r>
      <w:r>
        <w:rPr>
          <w:rFonts w:hint="eastAsia" w:ascii="仿宋_GB2312" w:hAnsi="仿宋" w:eastAsia="仿宋_GB2312" w:cs="宋体"/>
          <w:color w:val="auto"/>
          <w:kern w:val="0"/>
          <w:sz w:val="32"/>
          <w:szCs w:val="32"/>
        </w:rPr>
        <w:t xml:space="preserve"> 除涉及国家秘密、商业秘密等依法不予公开的情形外，项目单位应公开会议研究确定的决策事项以及项目实施进展等信息，自觉接受社会监督。</w:t>
      </w:r>
    </w:p>
    <w:p w14:paraId="26B2B7D2">
      <w:pPr>
        <w:widowControl/>
        <w:shd w:val="clear" w:color="auto" w:fill="FFFFFF"/>
        <w:spacing w:after="156" w:afterLines="50" w:line="560" w:lineRule="exact"/>
        <w:jc w:val="center"/>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第六章</w:t>
      </w:r>
      <w:r>
        <w:rPr>
          <w:rFonts w:hint="eastAsia" w:ascii="黑体" w:hAnsi="黑体" w:eastAsia="黑体" w:cs="宋体"/>
          <w:color w:val="auto"/>
          <w:kern w:val="0"/>
          <w:sz w:val="32"/>
          <w:szCs w:val="32"/>
        </w:rPr>
        <w:tab/>
      </w:r>
      <w:r>
        <w:rPr>
          <w:rFonts w:hint="eastAsia" w:ascii="黑体" w:hAnsi="黑体" w:eastAsia="黑体" w:cs="宋体"/>
          <w:color w:val="auto"/>
          <w:kern w:val="0"/>
          <w:sz w:val="32"/>
          <w:szCs w:val="32"/>
        </w:rPr>
        <w:t>招标投标管理</w:t>
      </w:r>
    </w:p>
    <w:p w14:paraId="6151E691">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第二十九条</w:t>
      </w:r>
      <w:r>
        <w:rPr>
          <w:rFonts w:hint="eastAsia" w:ascii="仿宋_GB2312" w:hAnsi="仿宋" w:eastAsia="仿宋_GB2312" w:cs="宋体"/>
          <w:color w:val="auto"/>
          <w:kern w:val="0"/>
          <w:sz w:val="32"/>
          <w:szCs w:val="32"/>
        </w:rPr>
        <w:t xml:space="preserve"> 项目单位承担招标人主体责任；各行政监督部门对招标投标活动实施监督，依法查处其中的违法行为；</w:t>
      </w:r>
      <w:r>
        <w:rPr>
          <w:rFonts w:hint="eastAsia" w:ascii="仿宋_GB2312" w:hAnsi="仿宋" w:eastAsia="仿宋_GB2312" w:cs="宋体"/>
          <w:color w:val="auto"/>
          <w:kern w:val="0"/>
          <w:sz w:val="32"/>
          <w:szCs w:val="32"/>
          <w:lang w:val="en-US" w:eastAsia="zh-CN"/>
        </w:rPr>
        <w:t>发改</w:t>
      </w:r>
      <w:r>
        <w:rPr>
          <w:rFonts w:hint="eastAsia" w:ascii="仿宋_GB2312" w:hAnsi="仿宋" w:eastAsia="仿宋_GB2312" w:cs="宋体"/>
          <w:color w:val="auto"/>
          <w:kern w:val="0"/>
          <w:sz w:val="32"/>
          <w:szCs w:val="32"/>
        </w:rPr>
        <w:t>部门负责指导和协调招标投标工作；公共资源交易中心负责进场交易环节，并协助各行政监督部门加强交易活动现场的监督管理；财政部门对政府采购活动实施监督管理，并依法监督实行招标投标的政府采购工程建设项目的预算执行情况。</w:t>
      </w:r>
    </w:p>
    <w:p w14:paraId="3477AFEF">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第三十条</w:t>
      </w:r>
      <w:r>
        <w:rPr>
          <w:rFonts w:hint="eastAsia" w:ascii="仿宋_GB2312" w:hAnsi="仿宋" w:eastAsia="仿宋_GB2312" w:cs="宋体"/>
          <w:color w:val="auto"/>
          <w:kern w:val="0"/>
          <w:sz w:val="32"/>
          <w:szCs w:val="32"/>
        </w:rPr>
        <w:t xml:space="preserve"> 财政性投资项目须严格执行招标投标制度。</w:t>
      </w:r>
    </w:p>
    <w:p w14:paraId="57C35EB7">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（一）对于项目涉及的勘察、设计、施工、监理，以及与工程建设相关的设备、材料采购等事项，若达到招标限额标准，应依法开展招标采购，并纳入公共资源交易平台统一交易。</w:t>
      </w:r>
    </w:p>
    <w:p w14:paraId="0E24B7C1">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（二）健全招标投标内控管理机制。项目单位应严格遵守招标投标相关法律法规，在招标代理机构选择、招标文件编制、招标人代表选派，以及评定分离环节确定中标人等关键步骤中，履行集体决策程序。</w:t>
      </w:r>
    </w:p>
    <w:p w14:paraId="4F03AD85">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（三）财政部门应当加强对政府采购评标专家的培训管理，建立考核评价机制，依据评价结果对评标专家实施动态管理</w:t>
      </w:r>
      <w:r>
        <w:rPr>
          <w:rFonts w:hint="eastAsia" w:ascii="仿宋_GB2312" w:hAnsi="仿宋" w:eastAsia="仿宋_GB2312" w:cs="宋体"/>
          <w:color w:val="auto"/>
          <w:kern w:val="0"/>
          <w:sz w:val="32"/>
          <w:szCs w:val="32"/>
          <w:lang w:eastAsia="zh-CN"/>
        </w:rPr>
        <w:t>。</w:t>
      </w:r>
    </w:p>
    <w:p w14:paraId="6614F900">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（四）公共资源交易中心应当配合对参与项目评标的专家实施“一项目一评价”、记录评标专家履职情况、专业能力及廉洁自律表现。发现评标专家存在违法违规行为的，应当及时向行政监督部门移交问题线索</w:t>
      </w:r>
      <w:r>
        <w:rPr>
          <w:rFonts w:hint="eastAsia" w:ascii="仿宋_GB2312" w:hAnsi="仿宋" w:eastAsia="仿宋_GB2312" w:cs="宋体"/>
          <w:color w:val="auto"/>
          <w:kern w:val="0"/>
          <w:sz w:val="32"/>
          <w:szCs w:val="32"/>
          <w:lang w:eastAsia="zh-CN"/>
        </w:rPr>
        <w:t>。</w:t>
      </w:r>
    </w:p>
    <w:p w14:paraId="4CD2FBDC">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五）公共资源交易中心应当加强对招标文件编制的指导，严格审查招标文件需求合规性、完整性及排他性；加强交易现场监督管理，对招标代理机构、评标专家等主体现场行为重点监督；积极推动实施异地评标、评定分离等工作，强化交易信息公开，提升交易透明度。</w:t>
      </w:r>
    </w:p>
    <w:p w14:paraId="28FC5673">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第三十一条</w:t>
      </w:r>
      <w:r>
        <w:rPr>
          <w:rFonts w:hint="eastAsia" w:ascii="仿宋_GB2312" w:hAnsi="仿宋" w:eastAsia="仿宋_GB2312" w:cs="宋体"/>
          <w:color w:val="auto"/>
          <w:kern w:val="0"/>
          <w:sz w:val="32"/>
          <w:szCs w:val="32"/>
        </w:rPr>
        <w:t xml:space="preserve"> 对于具备条件的工程项目，应当依法探索实施招标投标“评定分离”工作。</w:t>
      </w:r>
    </w:p>
    <w:p w14:paraId="2157CEBF">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（一）评标环节。评标委员会应依据招标文件载明的标准和方法独立开展评标工作，并向招标人推荐中标候选人。</w:t>
      </w:r>
    </w:p>
    <w:p w14:paraId="21D63229">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二）定标环节。定标委员会应对中标候选人进行核查，形成核查报告并在定标会议召开前保密。核查内容包括但不限于中标候选人的信用信息、履约能力，是否采取考察或质询方式开展核查，以及招标人认为需要核查的其他事项。定标委员会完成核查后，应组织召开定标会议，可采用核查随机法、票决法、集体议事法或其他符合规定的方式确定中标人。</w:t>
      </w:r>
    </w:p>
    <w:p w14:paraId="4DAA8FD2">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 xml:space="preserve">第三十二条 </w:t>
      </w:r>
      <w:r>
        <w:rPr>
          <w:rFonts w:hint="eastAsia" w:ascii="仿宋_GB2312" w:hAnsi="仿宋" w:eastAsia="仿宋_GB2312" w:cs="宋体"/>
          <w:color w:val="auto"/>
          <w:kern w:val="0"/>
          <w:sz w:val="32"/>
          <w:szCs w:val="32"/>
        </w:rPr>
        <w:t>采取设计施工总承包（EPC）建设模式的项目招投标工作，应当按照《房屋建筑和市政基础设施项目工程总承包管理办法》以及国家、省、市相关规定执行。</w:t>
      </w:r>
    </w:p>
    <w:p w14:paraId="315EBF53">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一）采用工程总承包（EPC）建设模式的项目，须经区政府批准后方可实施。项目获批后，工程总承包单位应自中标（成交）公告发布之日起60个工作日内，遴选具备相应资质的机构完成项目设计及施工图预算编制工作并提交成果；对于道路罩面等简单工程项目，上述工作应在30日内完成。</w:t>
      </w:r>
    </w:p>
    <w:p w14:paraId="04477D7E">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若未能按期完成，每逾期1日，应按照事前合同约定，从应付工程总承包单位的款项中按设计费的1%扣除作为逾期违约金，直至项目达到约定完成标准或设计费全部扣完。</w:t>
      </w:r>
    </w:p>
    <w:p w14:paraId="412C6784">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color w:val="auto"/>
          <w:kern w:val="0"/>
          <w:sz w:val="32"/>
          <w:szCs w:val="32"/>
          <w:u w:val="none"/>
        </w:rPr>
        <w:t>（二）采用EPC模式建设的工程项目，在确保工程质量前提下，项目招标最高限价由区政府专题会议研究审定。</w:t>
      </w:r>
    </w:p>
    <w:p w14:paraId="78F1A6DB">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（三）工程总承包单位组织编制的项目设计和施工图预算，应当提交</w:t>
      </w:r>
      <w:r>
        <w:rPr>
          <w:rFonts w:hint="eastAsia" w:ascii="仿宋_GB2312" w:hAnsi="仿宋" w:eastAsia="仿宋_GB2312" w:cs="宋体"/>
          <w:color w:val="auto"/>
          <w:kern w:val="0"/>
          <w:sz w:val="32"/>
          <w:szCs w:val="32"/>
          <w:lang w:val="en-US" w:eastAsia="zh-CN"/>
        </w:rPr>
        <w:t>住建</w:t>
      </w:r>
      <w:r>
        <w:rPr>
          <w:rFonts w:hint="eastAsia" w:ascii="仿宋_GB2312" w:hAnsi="仿宋" w:eastAsia="仿宋_GB2312" w:cs="宋体"/>
          <w:color w:val="auto"/>
          <w:kern w:val="0"/>
          <w:sz w:val="32"/>
          <w:szCs w:val="32"/>
        </w:rPr>
        <w:t>、财政等部门开展施工图审查及预算评审。上述审查及评审的相关程序要求、完成时限等内容，应当提前在合同中约定。施工图审查及预算评审完成前，建设单位只能开展“五通一平”等前期工作，不得擅自开展主体工程建设。</w:t>
      </w:r>
    </w:p>
    <w:p w14:paraId="7A9409D2">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第三十三条</w:t>
      </w:r>
      <w:r>
        <w:rPr>
          <w:rFonts w:hint="eastAsia" w:ascii="仿宋_GB2312" w:hAnsi="仿宋" w:eastAsia="仿宋_GB2312" w:cs="宋体"/>
          <w:color w:val="auto"/>
          <w:kern w:val="0"/>
          <w:sz w:val="32"/>
          <w:szCs w:val="32"/>
        </w:rPr>
        <w:t xml:space="preserve"> 区属国有投资公司的招标投标项目，应当按照《中华人民共和国招标投标法》及国有企业招标管理等规定依法合规开展。</w:t>
      </w:r>
    </w:p>
    <w:p w14:paraId="1B5590F0">
      <w:pPr>
        <w:widowControl/>
        <w:shd w:val="clear" w:color="auto" w:fill="FFFFFF"/>
        <w:spacing w:after="156" w:afterLines="50" w:line="560" w:lineRule="exact"/>
        <w:jc w:val="center"/>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第七章</w:t>
      </w:r>
      <w:r>
        <w:rPr>
          <w:rFonts w:hint="eastAsia" w:ascii="黑体" w:hAnsi="黑体" w:eastAsia="黑体" w:cs="宋体"/>
          <w:color w:val="auto"/>
          <w:kern w:val="0"/>
          <w:sz w:val="32"/>
          <w:szCs w:val="32"/>
        </w:rPr>
        <w:tab/>
      </w:r>
      <w:r>
        <w:rPr>
          <w:rFonts w:hint="eastAsia" w:ascii="黑体" w:hAnsi="黑体" w:eastAsia="黑体" w:cs="宋体"/>
          <w:color w:val="auto"/>
          <w:kern w:val="0"/>
          <w:sz w:val="32"/>
          <w:szCs w:val="32"/>
        </w:rPr>
        <w:t>工程建设管理</w:t>
      </w:r>
    </w:p>
    <w:p w14:paraId="4202D112">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第三十四条</w:t>
      </w:r>
      <w:r>
        <w:rPr>
          <w:rFonts w:hint="eastAsia" w:ascii="仿宋_GB2312" w:hAnsi="仿宋" w:eastAsia="仿宋_GB2312" w:cs="宋体"/>
          <w:color w:val="auto"/>
          <w:kern w:val="0"/>
          <w:sz w:val="32"/>
          <w:szCs w:val="32"/>
        </w:rPr>
        <w:t xml:space="preserve"> 规范项目开工管理。工程项目开工建设前，项目单位须依法完成各项审批手续，包括但不限于节能审查、地质灾害危险性评估、施工许可、建设项目环境影响评价、水土保持方案等法定审批事项。对不符合上述规定建设条件的项目，一律不得批准开工建设。</w:t>
      </w:r>
    </w:p>
    <w:p w14:paraId="18508739">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因抢险救灾、应急保障等特殊情形确需先行开工的，应当依照国家、省、市相关规定办理应急审批或备案手续，并在开工后一个月内补齐审批要件，否则按擅自开工处理。</w:t>
      </w:r>
    </w:p>
    <w:p w14:paraId="7828EC90">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第三十五条</w:t>
      </w:r>
      <w:r>
        <w:rPr>
          <w:rFonts w:hint="eastAsia" w:ascii="仿宋_GB2312" w:hAnsi="仿宋" w:eastAsia="仿宋_GB2312" w:cs="宋体"/>
          <w:color w:val="auto"/>
          <w:kern w:val="0"/>
          <w:sz w:val="32"/>
          <w:szCs w:val="32"/>
        </w:rPr>
        <w:t xml:space="preserve"> 施工合同管理。项目单位应当强化合同履约情况管理，推进合同履约信息公开。</w:t>
      </w:r>
    </w:p>
    <w:p w14:paraId="7C271397">
      <w:pPr>
        <w:widowControl/>
        <w:numPr>
          <w:ilvl w:val="0"/>
          <w:numId w:val="2"/>
        </w:numPr>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项目主管部门应当加强对本单位、本系统合同签订以及合同内容规范性的审查，探索建立项目招投标绩效评价机制，依法查处违法违规行为。</w:t>
      </w:r>
    </w:p>
    <w:p w14:paraId="48AE5567">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二）规范合同条款管理。项目单位应与中标单位签订权责对等的合同，明确双方责任与义务。施工合同应采用规范文本，明确材料、人工价格调整等专项条款内容，以及擅自变更施工内容时承包方应承担的责任与义务。</w:t>
      </w:r>
    </w:p>
    <w:p w14:paraId="0959843E">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（三）合同签订后，因擅自订立背离原合同实质性内容的补充条款（协议）等行为导致项目投资总额增加的，新增投资额及相应责任由项目单位自行承担。</w:t>
      </w:r>
    </w:p>
    <w:p w14:paraId="2ACFE8FB">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四）项目单位应强化合同履约监管，着重核查承包方主要管理人员是否与投标文件相符，其他项目管理人员是否为本单位在职职工，履约事项是否契合投标文件承诺。对工程款资金流向异常、项目管理人员非本单位在职职工等情况开展摸排分析，发现涉嫌违法分包转包行为的，应及时向行政监管部门报告。</w:t>
      </w:r>
    </w:p>
    <w:p w14:paraId="451681C5">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第三十六条</w:t>
      </w:r>
      <w:r>
        <w:rPr>
          <w:rFonts w:hint="eastAsia" w:ascii="仿宋_GB2312" w:hAnsi="仿宋" w:eastAsia="仿宋_GB2312" w:cs="宋体"/>
          <w:color w:val="auto"/>
          <w:kern w:val="0"/>
          <w:sz w:val="32"/>
          <w:szCs w:val="32"/>
        </w:rPr>
        <w:t xml:space="preserve"> 项目质量管理。项目单位应当强化项目质量管控，争创优质工程，为全社会工程建设发挥示范引领作用。</w:t>
      </w:r>
    </w:p>
    <w:p w14:paraId="702CE831">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一）建设单位作为工程质量的第一责任者，对工程质量全面负责。项目单位法定代表人作为工程质量第一责任人，必须严格遵守国家有关工程质量的法律法规，建立健全工程质量保证体系，确保工程质量符合标准。具体履行以下职责：牵头落实质量终身责任制，建立各方责任主体及项目负责人质量终身责任信息档案等</w:t>
      </w:r>
      <w:r>
        <w:rPr>
          <w:rFonts w:hint="eastAsia" w:ascii="仿宋_GB2312" w:hAnsi="仿宋" w:eastAsia="仿宋_GB2312" w:cs="宋体"/>
          <w:color w:val="auto"/>
          <w:kern w:val="0"/>
          <w:sz w:val="32"/>
          <w:szCs w:val="32"/>
          <w:lang w:eastAsia="zh-CN"/>
        </w:rPr>
        <w:t>。</w:t>
      </w:r>
    </w:p>
    <w:p w14:paraId="658237A2">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（二）项目单位负责采购的建筑材料、建筑构配件和设备应符合设计文件及合同要求，不得明示或暗示参建单位使用不合格的建筑材料、建筑构配件和设备</w:t>
      </w:r>
      <w:r>
        <w:rPr>
          <w:rFonts w:hint="eastAsia" w:ascii="仿宋_GB2312" w:hAnsi="仿宋" w:eastAsia="仿宋_GB2312" w:cs="宋体"/>
          <w:color w:val="auto"/>
          <w:kern w:val="0"/>
          <w:sz w:val="32"/>
          <w:szCs w:val="32"/>
          <w:lang w:eastAsia="zh-CN"/>
        </w:rPr>
        <w:t>。</w:t>
      </w:r>
    </w:p>
    <w:p w14:paraId="4A043729">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（三）项目单位应定期对工程实体质量进行抽查，牵头组织质量常见问题整治，留存质量检查记录与影像资料，协调处理工程质量相关问题</w:t>
      </w:r>
      <w:r>
        <w:rPr>
          <w:rFonts w:hint="eastAsia" w:ascii="仿宋_GB2312" w:hAnsi="仿宋" w:eastAsia="仿宋_GB2312" w:cs="宋体"/>
          <w:color w:val="auto"/>
          <w:kern w:val="0"/>
          <w:sz w:val="32"/>
          <w:szCs w:val="32"/>
          <w:lang w:eastAsia="zh-CN"/>
        </w:rPr>
        <w:t>。</w:t>
      </w:r>
    </w:p>
    <w:p w14:paraId="57C6B1A1">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四）重大项目竣工后，项目单位应当协调建设、勘察、设计、施工、监理单位在工程显著位置设置五方责任主体永久性铭牌，要求责任单位在工程设计使用年限内，依法履行工程质量保修、缺陷修复等相应责任。</w:t>
      </w:r>
    </w:p>
    <w:p w14:paraId="7943DE07">
      <w:pPr>
        <w:widowControl/>
        <w:spacing w:after="156" w:afterLines="50" w:line="560" w:lineRule="exact"/>
        <w:ind w:firstLine="643"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b/>
          <w:bCs/>
          <w:color w:val="auto"/>
          <w:kern w:val="0"/>
          <w:sz w:val="32"/>
          <w:szCs w:val="32"/>
          <w:u w:val="none"/>
        </w:rPr>
        <w:t>第三十七条</w:t>
      </w:r>
      <w:r>
        <w:rPr>
          <w:rFonts w:hint="eastAsia" w:ascii="仿宋_GB2312" w:hAnsi="仿宋" w:eastAsia="仿宋_GB2312" w:cs="宋体"/>
          <w:color w:val="auto"/>
          <w:kern w:val="0"/>
          <w:sz w:val="32"/>
          <w:szCs w:val="32"/>
          <w:u w:val="none"/>
        </w:rPr>
        <w:t xml:space="preserve"> 质量检测管理。项目单位应当加强工程质量检测的统一管理，履行以下职责：</w:t>
      </w:r>
    </w:p>
    <w:p w14:paraId="0E80A2B9">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bookmarkStart w:id="3" w:name="_Hlk224571400"/>
      <w:r>
        <w:rPr>
          <w:rFonts w:hint="eastAsia" w:ascii="仿宋_GB2312" w:hAnsi="仿宋" w:eastAsia="仿宋_GB2312" w:cs="宋体"/>
          <w:color w:val="auto"/>
          <w:kern w:val="0"/>
          <w:sz w:val="32"/>
          <w:szCs w:val="32"/>
          <w:u w:val="none"/>
        </w:rPr>
        <w:t>（一）项目单位在编制工程概（预）算时，工程质量检测费用已纳入工程建设总投资，工程质量检测费用的支付，应当严格按照合同约定执行；</w:t>
      </w:r>
    </w:p>
    <w:bookmarkEnd w:id="3"/>
    <w:p w14:paraId="221A599A">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color w:val="auto"/>
          <w:kern w:val="0"/>
          <w:sz w:val="32"/>
          <w:szCs w:val="32"/>
          <w:u w:val="none"/>
        </w:rPr>
        <w:t>（二）项目单位应当依法遴选具备相应资质的检测机构，承担本项目建设工程质量检测业务。检测机构应当遵守法律法规、现行技术标准及相关规范要求，开展工程质量检测工作，客观、真实、准确出具检测报告，并对检测报告的真实性、合法性、合规性承担全部责任；</w:t>
      </w:r>
    </w:p>
    <w:p w14:paraId="60655721">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三）项目单位应明确本单位工程质量检测活动的见证人员，或督促监理单位明确相应见证人员，对取样、制样、标识、封志、送检及现场检测等环节全程见证；现场检测时，须留存完整的质量检测记录和影像资料；</w:t>
      </w:r>
    </w:p>
    <w:p w14:paraId="5AC99B28">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（四）检测机构若发现建设、施工、监理单位存在违反法律法规和工程建设强制性标准等行为，以及检测项目涉及结构安全、主要使用功能检测结果不合格等问题，应及时报告项目单位，并督促责任单位整改；</w:t>
      </w:r>
    </w:p>
    <w:p w14:paraId="2B6ABC2D">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（五）检测结果利害关系人对检测结果有争议的，可遴选共同认可的检测机构复检；</w:t>
      </w:r>
    </w:p>
    <w:p w14:paraId="0C1153CE">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（六）非项目单位遴选的工程质量检测机构出具的检测报告，不得作为工程质量验收依据；</w:t>
      </w:r>
    </w:p>
    <w:p w14:paraId="6EB10590">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（七）对建设工程质量检测活动中的违法违规行为，任何单位和个人均有权向</w:t>
      </w:r>
      <w:r>
        <w:rPr>
          <w:rFonts w:hint="eastAsia" w:ascii="仿宋_GB2312" w:hAnsi="仿宋" w:eastAsia="仿宋_GB2312" w:cs="宋体"/>
          <w:color w:val="auto"/>
          <w:kern w:val="0"/>
          <w:sz w:val="32"/>
          <w:szCs w:val="32"/>
          <w:lang w:val="en-US" w:eastAsia="zh-CN"/>
        </w:rPr>
        <w:t>住建</w:t>
      </w:r>
      <w:r>
        <w:rPr>
          <w:rFonts w:hint="eastAsia" w:ascii="仿宋_GB2312" w:hAnsi="仿宋" w:eastAsia="仿宋_GB2312" w:cs="宋体"/>
          <w:color w:val="auto"/>
          <w:kern w:val="0"/>
          <w:sz w:val="32"/>
          <w:szCs w:val="32"/>
        </w:rPr>
        <w:t>部门投诉、举报。</w:t>
      </w:r>
    </w:p>
    <w:p w14:paraId="18DB3063">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第三十八条</w:t>
      </w:r>
      <w:r>
        <w:rPr>
          <w:rFonts w:hint="eastAsia" w:ascii="仿宋_GB2312" w:hAnsi="仿宋" w:eastAsia="仿宋_GB2312" w:cs="宋体"/>
          <w:color w:val="auto"/>
          <w:kern w:val="0"/>
          <w:sz w:val="32"/>
          <w:szCs w:val="32"/>
        </w:rPr>
        <w:t xml:space="preserve"> 安全生产管理。项目单位法定代表人作为施工安全生产第一责任人，对项目施工安全生产负总责。项目单位应健全安全生产责任体系，明确各岗位安全生产职责</w:t>
      </w:r>
      <w:r>
        <w:rPr>
          <w:rFonts w:hint="eastAsia" w:ascii="仿宋_GB2312" w:hAnsi="仿宋" w:eastAsia="仿宋_GB2312" w:cs="宋体"/>
          <w:color w:val="auto"/>
          <w:kern w:val="0"/>
          <w:sz w:val="32"/>
          <w:szCs w:val="32"/>
          <w:u w:val="none"/>
        </w:rPr>
        <w:t>；严格按照法律法规与合同约定，及时足额支付危大工程施工技术措施费和绿色施工安全防护措施项目费，全程监督施工单位按照规定用途合</w:t>
      </w:r>
      <w:r>
        <w:rPr>
          <w:rFonts w:hint="eastAsia" w:ascii="仿宋_GB2312" w:hAnsi="仿宋" w:eastAsia="仿宋_GB2312" w:cs="宋体"/>
          <w:color w:val="auto"/>
          <w:kern w:val="0"/>
          <w:sz w:val="32"/>
          <w:szCs w:val="32"/>
        </w:rPr>
        <w:t>理使用安全生产相关费用；强化安全生产风险动态管控，定期开展安全生产监督检查，对检查发现的问题督促整改到位，严格落实安全生产责任追究制度。</w:t>
      </w:r>
    </w:p>
    <w:p w14:paraId="27B6B0D7">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第三十九条</w:t>
      </w:r>
      <w:r>
        <w:rPr>
          <w:rFonts w:hint="eastAsia" w:ascii="仿宋_GB2312" w:hAnsi="仿宋" w:eastAsia="仿宋_GB2312" w:cs="宋体"/>
          <w:color w:val="auto"/>
          <w:kern w:val="0"/>
          <w:sz w:val="32"/>
          <w:szCs w:val="32"/>
        </w:rPr>
        <w:t xml:space="preserve"> 项目工期管理。项目单位应依据定额标准合理确定工期，按照批复的项目工期进度和投资计划推进项目建设，协调各参建单位保障进度，如实向</w:t>
      </w:r>
      <w:r>
        <w:rPr>
          <w:rFonts w:hint="eastAsia" w:ascii="仿宋_GB2312" w:hAnsi="仿宋" w:eastAsia="仿宋_GB2312" w:cs="宋体"/>
          <w:color w:val="auto"/>
          <w:kern w:val="0"/>
          <w:sz w:val="32"/>
          <w:szCs w:val="32"/>
          <w:lang w:val="en-US" w:eastAsia="zh-CN"/>
        </w:rPr>
        <w:t>发改</w:t>
      </w:r>
      <w:r>
        <w:rPr>
          <w:rFonts w:hint="eastAsia" w:ascii="仿宋_GB2312" w:hAnsi="仿宋" w:eastAsia="仿宋_GB2312" w:cs="宋体"/>
          <w:color w:val="auto"/>
          <w:kern w:val="0"/>
          <w:sz w:val="32"/>
          <w:szCs w:val="32"/>
        </w:rPr>
        <w:t>、行业主管部门报送项目建设进度。</w:t>
      </w:r>
    </w:p>
    <w:p w14:paraId="1D43C39F">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项目单位不得随意压缩已确定的施工工期。若因极端恶劣天气等不可抗力，以及重污染天气、重大活动保障等原因致使基本建设项目停工，应给予合理的工期补偿。</w:t>
      </w:r>
    </w:p>
    <w:p w14:paraId="34F5E9DE">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第四十条</w:t>
      </w:r>
      <w:r>
        <w:rPr>
          <w:rFonts w:hint="eastAsia" w:ascii="仿宋_GB2312" w:hAnsi="仿宋" w:eastAsia="仿宋_GB2312" w:cs="宋体"/>
          <w:color w:val="auto"/>
          <w:kern w:val="0"/>
          <w:sz w:val="32"/>
          <w:szCs w:val="32"/>
        </w:rPr>
        <w:t xml:space="preserve"> 工程变更管理。基本建设项目不得随意变更，未履行审批程序的工程变更，一律不作为工程结（决）算依据。针对确需变更的项目，实施分类审批管理机制：</w:t>
      </w:r>
    </w:p>
    <w:p w14:paraId="0FD097FE">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一）超过核定概算的变更项目，应由项目单位厘清问题原因，并履行定责问责、重新评估论证、提请区政府批准等程序后，由原审批部门调整，涉及初步设计及概算调整的，须在变更工程实施前完成相应审批手续</w:t>
      </w:r>
      <w:r>
        <w:rPr>
          <w:rFonts w:hint="eastAsia" w:ascii="仿宋_GB2312" w:hAnsi="仿宋" w:eastAsia="仿宋_GB2312" w:cs="宋体"/>
          <w:color w:val="auto"/>
          <w:kern w:val="0"/>
          <w:sz w:val="32"/>
          <w:szCs w:val="32"/>
          <w:lang w:eastAsia="zh-CN"/>
        </w:rPr>
        <w:t>；</w:t>
      </w:r>
    </w:p>
    <w:p w14:paraId="537A66C5">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二）未超过核定概算、突破合同价的变更项目，变更总额应控制在合同价8%以内。在变更实施前，项目单位需组织设计、施工、监理、第三方专家及法律专家召开论证会，待达成一致意见并出具会议纪要后，依照程序办理变更审批。其中：增加投资20万元以下（含20万元）变更由分管副区长、常务副区长审批；20万元以上变更由项目单位提请区政府常务会议或区长办公会议审议。经批准同意的工程变更，审批部门应于15个工作日内完成相应变更手续的审批</w:t>
      </w:r>
      <w:r>
        <w:rPr>
          <w:rFonts w:hint="eastAsia" w:ascii="仿宋_GB2312" w:hAnsi="仿宋" w:eastAsia="仿宋_GB2312" w:cs="宋体"/>
          <w:color w:val="auto"/>
          <w:kern w:val="0"/>
          <w:sz w:val="32"/>
          <w:szCs w:val="32"/>
          <w:lang w:eastAsia="zh-CN"/>
        </w:rPr>
        <w:t>；</w:t>
      </w:r>
    </w:p>
    <w:p w14:paraId="2F94DBF3">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（三）未突破合同价，为满足工程质量进行优化设计且节约政府投资的变更项目，须履行项目主管部门、设计（勘察）、施工、监理、造价咨询机构共同确认的审核程序</w:t>
      </w:r>
      <w:r>
        <w:rPr>
          <w:rFonts w:hint="eastAsia" w:ascii="仿宋_GB2312" w:hAnsi="仿宋" w:eastAsia="仿宋_GB2312" w:cs="宋体"/>
          <w:color w:val="auto"/>
          <w:kern w:val="0"/>
          <w:sz w:val="32"/>
          <w:szCs w:val="32"/>
          <w:lang w:eastAsia="zh-CN"/>
        </w:rPr>
        <w:t>；</w:t>
      </w:r>
    </w:p>
    <w:p w14:paraId="4C97DAD4">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（四）除政策调整及不可抗力因素外，采用EPC建设模式的项目，其设计与施工原则上不得变更</w:t>
      </w:r>
      <w:r>
        <w:rPr>
          <w:rFonts w:hint="eastAsia" w:ascii="仿宋_GB2312" w:hAnsi="仿宋" w:eastAsia="仿宋_GB2312" w:cs="宋体"/>
          <w:color w:val="auto"/>
          <w:kern w:val="0"/>
          <w:sz w:val="32"/>
          <w:szCs w:val="32"/>
          <w:lang w:eastAsia="zh-CN"/>
        </w:rPr>
        <w:t>；</w:t>
      </w:r>
    </w:p>
    <w:p w14:paraId="001D5A64">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（五）若上级交通等部门另有关于变更管理的规定，则依其规定执行。</w:t>
      </w:r>
    </w:p>
    <w:p w14:paraId="56EA5113">
      <w:pPr>
        <w:widowControl/>
        <w:shd w:val="clear" w:color="auto" w:fill="FFFFFF"/>
        <w:spacing w:after="156" w:afterLines="50" w:line="560" w:lineRule="exact"/>
        <w:jc w:val="center"/>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第八章</w:t>
      </w:r>
      <w:r>
        <w:rPr>
          <w:rFonts w:hint="eastAsia" w:ascii="黑体" w:hAnsi="黑体" w:eastAsia="黑体" w:cs="宋体"/>
          <w:color w:val="auto"/>
          <w:kern w:val="0"/>
          <w:sz w:val="32"/>
          <w:szCs w:val="32"/>
        </w:rPr>
        <w:tab/>
      </w:r>
      <w:r>
        <w:rPr>
          <w:rFonts w:hint="eastAsia" w:ascii="黑体" w:hAnsi="黑体" w:eastAsia="黑体" w:cs="宋体"/>
          <w:color w:val="auto"/>
          <w:kern w:val="0"/>
          <w:sz w:val="32"/>
          <w:szCs w:val="32"/>
        </w:rPr>
        <w:t>竣工验收管理</w:t>
      </w:r>
    </w:p>
    <w:p w14:paraId="11C6305A">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第四十一条</w:t>
      </w:r>
      <w:r>
        <w:rPr>
          <w:rFonts w:hint="eastAsia" w:ascii="仿宋_GB2312" w:hAnsi="仿宋" w:eastAsia="仿宋_GB2312" w:cs="宋体"/>
          <w:color w:val="auto"/>
          <w:kern w:val="0"/>
          <w:sz w:val="32"/>
          <w:szCs w:val="32"/>
        </w:rPr>
        <w:t xml:space="preserve"> 项目单位负责组织项目竣工验收工作。</w:t>
      </w:r>
    </w:p>
    <w:p w14:paraId="5480F568">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第四十二条</w:t>
      </w:r>
      <w:r>
        <w:rPr>
          <w:rFonts w:hint="eastAsia" w:ascii="仿宋_GB2312" w:hAnsi="仿宋" w:eastAsia="仿宋_GB2312" w:cs="宋体"/>
          <w:color w:val="auto"/>
          <w:kern w:val="0"/>
          <w:sz w:val="32"/>
          <w:szCs w:val="32"/>
        </w:rPr>
        <w:t xml:space="preserve"> 工程竣工验收应当在工程建设项目全部完成且满足相应运行条件后1年内实施。若因特殊情况需要延期，可适当延长期限，但最长不得超过6个月。</w:t>
      </w:r>
    </w:p>
    <w:p w14:paraId="30CF91CF">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第四十三条</w:t>
      </w:r>
      <w:r>
        <w:rPr>
          <w:rFonts w:hint="eastAsia" w:ascii="仿宋_GB2312" w:hAnsi="仿宋" w:eastAsia="仿宋_GB2312" w:cs="宋体"/>
          <w:color w:val="auto"/>
          <w:kern w:val="0"/>
          <w:sz w:val="32"/>
          <w:szCs w:val="32"/>
        </w:rPr>
        <w:t xml:space="preserve"> 财政性资金投资项目实行分类验收：</w:t>
      </w:r>
    </w:p>
    <w:p w14:paraId="1F2CFB53">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（一）基本建设项目。由项目单位、施工单位、监理单位先行自查。达到验收条件的，项目单位组织施工、设计、监理、勘察等相关单位开展联合验收，并同步完成规划、消防、人防等专项验收</w:t>
      </w:r>
      <w:r>
        <w:rPr>
          <w:rFonts w:hint="eastAsia" w:ascii="仿宋_GB2312" w:hAnsi="仿宋" w:eastAsia="仿宋_GB2312" w:cs="宋体"/>
          <w:color w:val="auto"/>
          <w:kern w:val="0"/>
          <w:sz w:val="32"/>
          <w:szCs w:val="32"/>
          <w:lang w:eastAsia="zh-CN"/>
        </w:rPr>
        <w:t>；</w:t>
      </w:r>
    </w:p>
    <w:p w14:paraId="760AE80B">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（二）政务信息化项目。项目验收前，项目建设单位需向区</w:t>
      </w:r>
      <w:r>
        <w:rPr>
          <w:rFonts w:hint="eastAsia" w:ascii="仿宋_GB2312" w:hAnsi="仿宋" w:eastAsia="仿宋_GB2312" w:cs="宋体"/>
          <w:color w:val="auto"/>
          <w:kern w:val="0"/>
          <w:sz w:val="32"/>
          <w:szCs w:val="32"/>
          <w:lang w:val="en-US" w:eastAsia="zh-CN"/>
        </w:rPr>
        <w:t>审信局</w:t>
      </w:r>
      <w:r>
        <w:rPr>
          <w:rFonts w:hint="eastAsia" w:ascii="仿宋_GB2312" w:hAnsi="仿宋" w:eastAsia="仿宋_GB2312" w:cs="宋体"/>
          <w:color w:val="auto"/>
          <w:kern w:val="0"/>
          <w:sz w:val="32"/>
          <w:szCs w:val="32"/>
        </w:rPr>
        <w:t>申请验收前置审核。未经前置审核，项目建设单位不得组织验收。对于建成后未验收或无法实现数据共享的项目，财政部门不予保障后续资金</w:t>
      </w:r>
      <w:r>
        <w:rPr>
          <w:rFonts w:hint="eastAsia" w:ascii="仿宋_GB2312" w:hAnsi="仿宋" w:eastAsia="仿宋_GB2312" w:cs="宋体"/>
          <w:color w:val="auto"/>
          <w:kern w:val="0"/>
          <w:sz w:val="32"/>
          <w:szCs w:val="32"/>
          <w:lang w:eastAsia="zh-CN"/>
        </w:rPr>
        <w:t>；</w:t>
      </w:r>
    </w:p>
    <w:p w14:paraId="4035ADF5">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三）设备购置和政务服务类项目。由项目单位组建验收小组，必要时可邀请项目主管部门、专业质量检测机构等相关人员参与，对照招标（采购）合同及相关技术标准，对供应商履约情况逐项进行核验，重点核查设备（或服务）质量是否达标、数量是否符合要求、状态是否完好等，并签署验收意见。</w:t>
      </w:r>
    </w:p>
    <w:p w14:paraId="4A85184E">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第四十四条</w:t>
      </w:r>
      <w:r>
        <w:rPr>
          <w:rFonts w:hint="eastAsia" w:ascii="仿宋_GB2312" w:hAnsi="仿宋" w:eastAsia="仿宋_GB2312" w:cs="宋体"/>
          <w:color w:val="auto"/>
          <w:kern w:val="0"/>
          <w:sz w:val="32"/>
          <w:szCs w:val="32"/>
        </w:rPr>
        <w:t xml:space="preserve"> 基本建设项目竣工验收，验收部门应当重点审查以下内容：</w:t>
      </w:r>
    </w:p>
    <w:p w14:paraId="58CC3D5D">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（一）项目审批及招投标履行情况；</w:t>
      </w:r>
    </w:p>
    <w:p w14:paraId="7C1172BD">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（二）是否按批复的规模、标准、内容及投资完成建设；</w:t>
      </w:r>
    </w:p>
    <w:p w14:paraId="2B93A366">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（三）项目资金使用的合规性情况；</w:t>
      </w:r>
    </w:p>
    <w:p w14:paraId="6C6EA6BB">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（四）项目运行状态及效果；</w:t>
      </w:r>
    </w:p>
    <w:p w14:paraId="33134DB2">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（五）项目专项验收完成情况；</w:t>
      </w:r>
    </w:p>
    <w:p w14:paraId="0434EC29">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color w:val="auto"/>
          <w:kern w:val="0"/>
          <w:sz w:val="32"/>
          <w:szCs w:val="32"/>
          <w:u w:val="none"/>
        </w:rPr>
        <w:t>（六）项目实施结果的检验检测报告、技术鉴定意见等相关材料的完备性；</w:t>
      </w:r>
    </w:p>
    <w:p w14:paraId="655029C4">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（七）概算执行及财务审计结果；</w:t>
      </w:r>
    </w:p>
    <w:p w14:paraId="45E26C65">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（八）与项目竣工验收相关的其他事项。</w:t>
      </w:r>
    </w:p>
    <w:p w14:paraId="1BBF7380">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第四十五条</w:t>
      </w:r>
      <w:r>
        <w:rPr>
          <w:rFonts w:hint="eastAsia" w:ascii="仿宋_GB2312" w:hAnsi="仿宋" w:eastAsia="仿宋_GB2312" w:cs="宋体"/>
          <w:color w:val="auto"/>
          <w:kern w:val="0"/>
          <w:sz w:val="32"/>
          <w:szCs w:val="32"/>
        </w:rPr>
        <w:t xml:space="preserve"> 项目通过验收后，项目单位还应根据法律法规及行业管理要求开展以下工作：</w:t>
      </w:r>
    </w:p>
    <w:p w14:paraId="16BBFD16">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（一）办理项目决（结）算</w:t>
      </w:r>
      <w:r>
        <w:rPr>
          <w:rFonts w:hint="eastAsia" w:ascii="仿宋_GB2312" w:hAnsi="仿宋" w:eastAsia="仿宋_GB2312" w:cs="宋体"/>
          <w:color w:val="auto"/>
          <w:kern w:val="0"/>
          <w:sz w:val="32"/>
          <w:szCs w:val="32"/>
          <w:lang w:val="en-US" w:eastAsia="zh-CN"/>
        </w:rPr>
        <w:t>审计</w:t>
      </w:r>
      <w:r>
        <w:rPr>
          <w:rFonts w:hint="eastAsia" w:ascii="仿宋_GB2312" w:hAnsi="仿宋" w:eastAsia="仿宋_GB2312" w:cs="宋体"/>
          <w:color w:val="auto"/>
          <w:kern w:val="0"/>
          <w:sz w:val="32"/>
          <w:szCs w:val="32"/>
        </w:rPr>
        <w:t>；</w:t>
      </w:r>
    </w:p>
    <w:p w14:paraId="02A36CE7">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（二）办理竣工财务决算；</w:t>
      </w:r>
    </w:p>
    <w:p w14:paraId="02A8DEC7">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（三）办理固定资产产权登记。项目单位应及时登录河南省行政事业单位资产管理信息系统，办理产权登记，完成国有资产的备案、移交，以及后续资产信息的更新与维护等工作；</w:t>
      </w:r>
    </w:p>
    <w:p w14:paraId="0674E287">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（四）对建设周期长、因故无法继续实施或无必要继续实施的项目，经原审批部门同意，可分期或对已完成的部分工程按单项工程进行竣工验收；</w:t>
      </w:r>
    </w:p>
    <w:p w14:paraId="4F603A82">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（五）项目主管部门和依法对财政性资金投资项目负有监督管理职责的其他相关部门应当通过在线监测、现场核查等方式，加强对项目实施情况的监督检查。</w:t>
      </w:r>
    </w:p>
    <w:p w14:paraId="133CAB53">
      <w:pPr>
        <w:ind w:firstLine="643" w:firstLineChars="200"/>
        <w:rPr>
          <w:rFonts w:hint="default" w:ascii="仿宋_GB2312" w:hAnsi="仿宋" w:eastAsia="仿宋_GB2312" w:cs="宋体"/>
          <w:color w:val="auto"/>
          <w:kern w:val="0"/>
          <w:sz w:val="32"/>
          <w:szCs w:val="32"/>
          <w:lang w:val="en-US" w:eastAsia="zh-CN"/>
        </w:rPr>
      </w:pPr>
      <w:r>
        <w:rPr>
          <w:rFonts w:hint="eastAsia" w:ascii="仿宋_GB2312" w:hAnsi="仿宋" w:eastAsia="仿宋_GB2312" w:cs="宋体"/>
          <w:b/>
          <w:bCs/>
          <w:color w:val="auto"/>
          <w:kern w:val="0"/>
          <w:sz w:val="32"/>
          <w:szCs w:val="32"/>
        </w:rPr>
        <w:t>第四十六条</w:t>
      </w:r>
      <w:r>
        <w:rPr>
          <w:rFonts w:hint="eastAsia" w:ascii="仿宋_GB2312" w:hAnsi="仿宋" w:eastAsia="仿宋_GB2312" w:cs="宋体"/>
          <w:color w:val="auto"/>
          <w:kern w:val="0"/>
          <w:sz w:val="32"/>
          <w:szCs w:val="32"/>
        </w:rPr>
        <w:t xml:space="preserve"> 财政性资金投资项目竣工结算，实行分类</w:t>
      </w:r>
      <w:r>
        <w:rPr>
          <w:rFonts w:hint="eastAsia" w:ascii="仿宋_GB2312" w:hAnsi="仿宋" w:eastAsia="仿宋_GB2312" w:cs="宋体"/>
          <w:color w:val="auto"/>
          <w:kern w:val="0"/>
          <w:sz w:val="32"/>
          <w:szCs w:val="32"/>
          <w:lang w:val="en-US" w:eastAsia="zh-CN"/>
        </w:rPr>
        <w:t>审核、备案</w:t>
      </w:r>
      <w:r>
        <w:rPr>
          <w:rFonts w:hint="eastAsia" w:ascii="仿宋_GB2312" w:hAnsi="仿宋" w:eastAsia="仿宋_GB2312" w:cs="宋体"/>
          <w:color w:val="auto"/>
          <w:kern w:val="0"/>
          <w:sz w:val="32"/>
          <w:szCs w:val="32"/>
        </w:rPr>
        <w:t>管理、</w:t>
      </w:r>
      <w:r>
        <w:rPr>
          <w:rFonts w:hint="eastAsia" w:ascii="仿宋_GB2312" w:hAnsi="仿宋" w:eastAsia="仿宋_GB2312" w:cs="宋体"/>
          <w:color w:val="auto"/>
          <w:kern w:val="0"/>
          <w:sz w:val="32"/>
          <w:szCs w:val="32"/>
          <w:lang w:val="en-US" w:eastAsia="zh-CN"/>
        </w:rPr>
        <w:t>差异化抽审机制</w:t>
      </w:r>
      <w:r>
        <w:rPr>
          <w:rFonts w:hint="eastAsia" w:ascii="仿宋_GB2312" w:hAnsi="仿宋" w:eastAsia="仿宋_GB2312" w:cs="宋体"/>
          <w:color w:val="auto"/>
          <w:kern w:val="0"/>
          <w:sz w:val="32"/>
          <w:szCs w:val="32"/>
        </w:rPr>
        <w:t>，按照以下</w:t>
      </w:r>
      <w:r>
        <w:rPr>
          <w:rFonts w:hint="eastAsia" w:ascii="仿宋_GB2312" w:hAnsi="仿宋" w:eastAsia="仿宋_GB2312" w:cs="宋体"/>
          <w:color w:val="auto"/>
          <w:kern w:val="0"/>
          <w:sz w:val="32"/>
          <w:szCs w:val="32"/>
          <w:lang w:val="en-US" w:eastAsia="zh-CN"/>
        </w:rPr>
        <w:t>程序</w:t>
      </w:r>
      <w:r>
        <w:rPr>
          <w:rFonts w:hint="eastAsia" w:ascii="仿宋_GB2312" w:hAnsi="仿宋" w:eastAsia="仿宋_GB2312" w:cs="宋体"/>
          <w:color w:val="auto"/>
          <w:kern w:val="0"/>
          <w:sz w:val="32"/>
          <w:szCs w:val="32"/>
        </w:rPr>
        <w:t>执行：</w:t>
      </w:r>
    </w:p>
    <w:p w14:paraId="1B0D94C7">
      <w:pPr>
        <w:widowControl/>
        <w:numPr>
          <w:ilvl w:val="0"/>
          <w:numId w:val="3"/>
        </w:numPr>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lang w:val="en-US" w:eastAsia="zh-CN"/>
        </w:rPr>
        <w:t>竣工决（</w:t>
      </w:r>
      <w:r>
        <w:rPr>
          <w:rFonts w:hint="eastAsia" w:ascii="仿宋_GB2312" w:hAnsi="仿宋" w:eastAsia="仿宋_GB2312" w:cs="宋体"/>
          <w:color w:val="auto"/>
          <w:kern w:val="0"/>
          <w:sz w:val="32"/>
          <w:szCs w:val="32"/>
        </w:rPr>
        <w:t>结</w:t>
      </w:r>
      <w:r>
        <w:rPr>
          <w:rFonts w:hint="eastAsia" w:ascii="仿宋_GB2312" w:hAnsi="仿宋" w:eastAsia="仿宋_GB2312" w:cs="宋体"/>
          <w:color w:val="auto"/>
          <w:kern w:val="0"/>
          <w:sz w:val="32"/>
          <w:szCs w:val="32"/>
          <w:lang w:val="en-US" w:eastAsia="zh-CN"/>
        </w:rPr>
        <w:t>）</w:t>
      </w:r>
      <w:r>
        <w:rPr>
          <w:rFonts w:hint="eastAsia" w:ascii="仿宋_GB2312" w:hAnsi="仿宋" w:eastAsia="仿宋_GB2312" w:cs="宋体"/>
          <w:color w:val="auto"/>
          <w:kern w:val="0"/>
          <w:sz w:val="32"/>
          <w:szCs w:val="32"/>
        </w:rPr>
        <w:t>算分类管理</w:t>
      </w:r>
      <w:r>
        <w:rPr>
          <w:rFonts w:hint="eastAsia" w:ascii="仿宋_GB2312" w:hAnsi="仿宋" w:eastAsia="仿宋_GB2312" w:cs="宋体"/>
          <w:color w:val="auto"/>
          <w:kern w:val="0"/>
          <w:sz w:val="32"/>
          <w:szCs w:val="32"/>
          <w:lang w:eastAsia="zh-CN"/>
        </w:rPr>
        <w:t>。</w:t>
      </w:r>
      <w:r>
        <w:rPr>
          <w:rFonts w:hint="eastAsia" w:ascii="仿宋_GB2312" w:hAnsi="仿宋" w:eastAsia="仿宋_GB2312" w:cs="宋体"/>
          <w:color w:val="auto"/>
          <w:kern w:val="0"/>
          <w:sz w:val="32"/>
          <w:szCs w:val="32"/>
        </w:rPr>
        <w:t>财政性资金项目</w:t>
      </w:r>
      <w:r>
        <w:rPr>
          <w:rFonts w:hint="eastAsia" w:ascii="仿宋_GB2312" w:hAnsi="仿宋" w:eastAsia="仿宋_GB2312" w:cs="宋体"/>
          <w:color w:val="auto"/>
          <w:kern w:val="0"/>
          <w:sz w:val="32"/>
          <w:szCs w:val="32"/>
          <w:lang w:val="en-US" w:eastAsia="zh-CN"/>
        </w:rPr>
        <w:t>决（</w:t>
      </w:r>
      <w:r>
        <w:rPr>
          <w:rFonts w:hint="eastAsia" w:ascii="仿宋_GB2312" w:hAnsi="仿宋" w:eastAsia="仿宋_GB2312" w:cs="宋体"/>
          <w:color w:val="auto"/>
          <w:kern w:val="0"/>
          <w:sz w:val="32"/>
          <w:szCs w:val="32"/>
        </w:rPr>
        <w:t>结</w:t>
      </w:r>
      <w:r>
        <w:rPr>
          <w:rFonts w:hint="eastAsia" w:ascii="仿宋_GB2312" w:hAnsi="仿宋" w:eastAsia="仿宋_GB2312" w:cs="宋体"/>
          <w:color w:val="auto"/>
          <w:kern w:val="0"/>
          <w:sz w:val="32"/>
          <w:szCs w:val="32"/>
          <w:lang w:val="en-US" w:eastAsia="zh-CN"/>
        </w:rPr>
        <w:t>）算</w:t>
      </w:r>
      <w:r>
        <w:rPr>
          <w:rFonts w:hint="eastAsia" w:ascii="仿宋_GB2312" w:hAnsi="仿宋" w:eastAsia="仿宋_GB2312" w:cs="宋体"/>
          <w:color w:val="auto"/>
          <w:kern w:val="0"/>
          <w:sz w:val="32"/>
          <w:szCs w:val="32"/>
        </w:rPr>
        <w:t>实行分</w:t>
      </w:r>
      <w:r>
        <w:rPr>
          <w:rFonts w:hint="eastAsia" w:ascii="仿宋_GB2312" w:hAnsi="仿宋" w:eastAsia="仿宋_GB2312" w:cs="宋体"/>
          <w:color w:val="auto"/>
          <w:kern w:val="0"/>
          <w:sz w:val="32"/>
          <w:szCs w:val="32"/>
          <w:lang w:val="en-US" w:eastAsia="zh-CN"/>
        </w:rPr>
        <w:t>类</w:t>
      </w:r>
      <w:r>
        <w:rPr>
          <w:rFonts w:hint="eastAsia" w:ascii="仿宋_GB2312" w:hAnsi="仿宋" w:eastAsia="仿宋_GB2312" w:cs="宋体"/>
          <w:color w:val="auto"/>
          <w:kern w:val="0"/>
          <w:sz w:val="32"/>
          <w:szCs w:val="32"/>
        </w:rPr>
        <w:t>管理，已纳入年度审计计划的项目，由审计机关依法开展竣工</w:t>
      </w:r>
      <w:r>
        <w:rPr>
          <w:rFonts w:hint="eastAsia" w:ascii="仿宋_GB2312" w:hAnsi="仿宋" w:eastAsia="仿宋_GB2312" w:cs="宋体"/>
          <w:color w:val="auto"/>
          <w:kern w:val="0"/>
          <w:sz w:val="32"/>
          <w:szCs w:val="32"/>
          <w:lang w:val="en-US" w:eastAsia="zh-CN"/>
        </w:rPr>
        <w:t>决</w:t>
      </w:r>
      <w:r>
        <w:rPr>
          <w:rFonts w:hint="eastAsia" w:ascii="仿宋_GB2312" w:hAnsi="仿宋" w:eastAsia="仿宋_GB2312" w:cs="宋体"/>
          <w:color w:val="auto"/>
          <w:kern w:val="0"/>
          <w:sz w:val="32"/>
          <w:szCs w:val="32"/>
        </w:rPr>
        <w:t>算专项审计；未纳入审计计划的项目，由</w:t>
      </w:r>
      <w:r>
        <w:rPr>
          <w:rFonts w:hint="eastAsia" w:ascii="仿宋_GB2312" w:hAnsi="仿宋" w:eastAsia="仿宋_GB2312" w:cs="宋体"/>
          <w:color w:val="auto"/>
          <w:kern w:val="0"/>
          <w:sz w:val="32"/>
          <w:szCs w:val="32"/>
          <w:lang w:eastAsia="zh-CN"/>
        </w:rPr>
        <w:t>项目单位</w:t>
      </w:r>
      <w:r>
        <w:rPr>
          <w:rFonts w:hint="eastAsia" w:ascii="仿宋_GB2312" w:hAnsi="仿宋" w:eastAsia="仿宋_GB2312" w:cs="宋体"/>
          <w:color w:val="auto"/>
          <w:kern w:val="0"/>
          <w:sz w:val="32"/>
          <w:szCs w:val="32"/>
        </w:rPr>
        <w:t>自行组织竣工结算审核。</w:t>
      </w:r>
      <w:r>
        <w:rPr>
          <w:rFonts w:hint="eastAsia" w:ascii="仿宋_GB2312" w:hAnsi="仿宋" w:eastAsia="仿宋_GB2312" w:cs="宋体"/>
          <w:color w:val="auto"/>
          <w:kern w:val="0"/>
          <w:sz w:val="32"/>
          <w:szCs w:val="32"/>
          <w:lang w:eastAsia="zh-CN"/>
        </w:rPr>
        <w:t>项目单位</w:t>
      </w:r>
      <w:r>
        <w:rPr>
          <w:rFonts w:hint="eastAsia" w:ascii="仿宋_GB2312" w:hAnsi="仿宋" w:eastAsia="仿宋_GB2312" w:cs="宋体"/>
          <w:color w:val="auto"/>
          <w:kern w:val="0"/>
          <w:sz w:val="32"/>
          <w:szCs w:val="32"/>
        </w:rPr>
        <w:t>对自行出具的竣工结算审核成果承担全部主体责任，不得简化审核流程、放松造价管控、免除自身审核责任</w:t>
      </w:r>
      <w:r>
        <w:rPr>
          <w:rFonts w:hint="eastAsia" w:ascii="仿宋_GB2312" w:hAnsi="仿宋" w:eastAsia="仿宋_GB2312" w:cs="宋体"/>
          <w:color w:val="auto"/>
          <w:kern w:val="0"/>
          <w:sz w:val="32"/>
          <w:szCs w:val="32"/>
          <w:lang w:eastAsia="zh-CN"/>
        </w:rPr>
        <w:t>；</w:t>
      </w:r>
    </w:p>
    <w:p w14:paraId="1B4EB9AB">
      <w:pPr>
        <w:widowControl/>
        <w:numPr>
          <w:ilvl w:val="0"/>
          <w:numId w:val="0"/>
        </w:numPr>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lang w:eastAsia="zh-CN"/>
        </w:rPr>
        <w:t>（</w:t>
      </w:r>
      <w:r>
        <w:rPr>
          <w:rFonts w:hint="eastAsia" w:ascii="仿宋_GB2312" w:hAnsi="仿宋" w:eastAsia="仿宋_GB2312" w:cs="宋体"/>
          <w:color w:val="auto"/>
          <w:kern w:val="0"/>
          <w:sz w:val="32"/>
          <w:szCs w:val="32"/>
          <w:lang w:val="en-US" w:eastAsia="zh-CN"/>
        </w:rPr>
        <w:t>二</w:t>
      </w:r>
      <w:r>
        <w:rPr>
          <w:rFonts w:hint="eastAsia" w:ascii="仿宋_GB2312" w:hAnsi="仿宋" w:eastAsia="仿宋_GB2312" w:cs="宋体"/>
          <w:color w:val="auto"/>
          <w:kern w:val="0"/>
          <w:sz w:val="32"/>
          <w:szCs w:val="32"/>
          <w:lang w:eastAsia="zh-CN"/>
        </w:rPr>
        <w:t>）</w:t>
      </w:r>
      <w:r>
        <w:rPr>
          <w:rFonts w:hint="eastAsia" w:ascii="仿宋_GB2312" w:hAnsi="仿宋" w:eastAsia="仿宋_GB2312" w:cs="宋体"/>
          <w:color w:val="auto"/>
          <w:kern w:val="0"/>
          <w:sz w:val="32"/>
          <w:szCs w:val="32"/>
          <w:lang w:val="en-US" w:eastAsia="zh-CN"/>
        </w:rPr>
        <w:t>竣工</w:t>
      </w:r>
      <w:r>
        <w:rPr>
          <w:rFonts w:hint="eastAsia" w:ascii="仿宋_GB2312" w:hAnsi="仿宋" w:eastAsia="仿宋_GB2312" w:cs="宋体"/>
          <w:color w:val="auto"/>
          <w:kern w:val="0"/>
          <w:sz w:val="32"/>
          <w:szCs w:val="32"/>
          <w:lang w:eastAsia="zh-CN"/>
        </w:rPr>
        <w:t>结算报</w:t>
      </w:r>
      <w:r>
        <w:rPr>
          <w:rFonts w:hint="eastAsia" w:ascii="仿宋_GB2312" w:hAnsi="仿宋" w:eastAsia="仿宋_GB2312" w:cs="宋体"/>
          <w:color w:val="auto"/>
          <w:kern w:val="0"/>
          <w:sz w:val="32"/>
          <w:szCs w:val="32"/>
        </w:rPr>
        <w:t>备</w:t>
      </w:r>
      <w:r>
        <w:rPr>
          <w:rFonts w:hint="eastAsia" w:ascii="仿宋_GB2312" w:hAnsi="仿宋" w:eastAsia="仿宋_GB2312" w:cs="宋体"/>
          <w:color w:val="auto"/>
          <w:kern w:val="0"/>
          <w:sz w:val="32"/>
          <w:szCs w:val="32"/>
          <w:lang w:val="en-US" w:eastAsia="zh-CN"/>
        </w:rPr>
        <w:t>流程</w:t>
      </w:r>
      <w:r>
        <w:rPr>
          <w:rFonts w:hint="eastAsia" w:ascii="仿宋_GB2312" w:hAnsi="仿宋" w:eastAsia="仿宋_GB2312" w:cs="宋体"/>
          <w:color w:val="auto"/>
          <w:kern w:val="0"/>
          <w:sz w:val="32"/>
          <w:szCs w:val="32"/>
          <w:lang w:eastAsia="zh-CN"/>
        </w:rPr>
        <w:t>。项目完成竣工验收、</w:t>
      </w:r>
      <w:r>
        <w:rPr>
          <w:rFonts w:hint="eastAsia" w:ascii="仿宋_GB2312" w:hAnsi="仿宋" w:eastAsia="仿宋_GB2312" w:cs="宋体"/>
          <w:color w:val="auto"/>
          <w:kern w:val="0"/>
          <w:sz w:val="32"/>
          <w:szCs w:val="32"/>
          <w:lang w:val="en-US" w:eastAsia="zh-CN"/>
        </w:rPr>
        <w:t>项目</w:t>
      </w:r>
      <w:r>
        <w:rPr>
          <w:rFonts w:hint="eastAsia" w:ascii="仿宋_GB2312" w:hAnsi="仿宋" w:eastAsia="仿宋_GB2312" w:cs="宋体"/>
          <w:color w:val="auto"/>
          <w:kern w:val="0"/>
          <w:sz w:val="32"/>
          <w:szCs w:val="32"/>
          <w:lang w:eastAsia="zh-CN"/>
        </w:rPr>
        <w:t>单位出具正式竣工结算审核报告后，</w:t>
      </w:r>
      <w:r>
        <w:rPr>
          <w:rFonts w:hint="eastAsia" w:ascii="仿宋_GB2312" w:hAnsi="仿宋" w:eastAsia="仿宋_GB2312" w:cs="宋体"/>
          <w:color w:val="auto"/>
          <w:kern w:val="0"/>
          <w:sz w:val="32"/>
          <w:szCs w:val="32"/>
        </w:rPr>
        <w:t>须将</w:t>
      </w:r>
      <w:r>
        <w:rPr>
          <w:rFonts w:hint="eastAsia" w:ascii="仿宋_GB2312" w:hAnsi="仿宋" w:eastAsia="仿宋_GB2312" w:cs="宋体"/>
          <w:color w:val="auto"/>
          <w:kern w:val="0"/>
          <w:sz w:val="32"/>
          <w:szCs w:val="32"/>
          <w:lang w:val="en-US" w:eastAsia="zh-CN"/>
        </w:rPr>
        <w:t>自行组织结算的项目</w:t>
      </w:r>
      <w:r>
        <w:rPr>
          <w:rFonts w:hint="eastAsia" w:ascii="仿宋_GB2312" w:hAnsi="仿宋" w:eastAsia="仿宋_GB2312" w:cs="宋体"/>
          <w:color w:val="auto"/>
          <w:kern w:val="0"/>
          <w:sz w:val="32"/>
          <w:szCs w:val="32"/>
        </w:rPr>
        <w:t>报送区财政局备案。财政局汇总全区自行结算项目清单、结算金额后上报区政府</w:t>
      </w:r>
      <w:r>
        <w:rPr>
          <w:rFonts w:hint="eastAsia" w:ascii="仿宋_GB2312" w:hAnsi="仿宋" w:eastAsia="仿宋_GB2312" w:cs="宋体"/>
          <w:color w:val="auto"/>
          <w:kern w:val="0"/>
          <w:sz w:val="32"/>
          <w:szCs w:val="32"/>
          <w:lang w:eastAsia="zh-CN"/>
        </w:rPr>
        <w:t>，由区政府统筹部署审计部门开展</w:t>
      </w:r>
      <w:r>
        <w:rPr>
          <w:rFonts w:hint="eastAsia" w:ascii="仿宋_GB2312" w:hAnsi="仿宋" w:eastAsia="仿宋_GB2312" w:cs="宋体"/>
          <w:color w:val="auto"/>
          <w:kern w:val="0"/>
          <w:sz w:val="32"/>
          <w:szCs w:val="32"/>
          <w:lang w:val="en-US" w:eastAsia="zh-CN"/>
        </w:rPr>
        <w:t>审计监督工作，进行</w:t>
      </w:r>
      <w:r>
        <w:rPr>
          <w:rFonts w:hint="eastAsia" w:ascii="仿宋_GB2312" w:hAnsi="仿宋" w:eastAsia="仿宋_GB2312" w:cs="宋体"/>
          <w:color w:val="auto"/>
          <w:kern w:val="0"/>
          <w:sz w:val="32"/>
          <w:szCs w:val="32"/>
          <w:lang w:eastAsia="zh-CN"/>
        </w:rPr>
        <w:t>抽审复核；</w:t>
      </w:r>
    </w:p>
    <w:p w14:paraId="462D0B10">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lang w:eastAsia="zh-CN"/>
        </w:rPr>
        <w:t>（</w:t>
      </w:r>
      <w:r>
        <w:rPr>
          <w:rFonts w:hint="eastAsia" w:ascii="仿宋_GB2312" w:hAnsi="仿宋" w:eastAsia="仿宋_GB2312" w:cs="宋体"/>
          <w:color w:val="auto"/>
          <w:kern w:val="0"/>
          <w:sz w:val="32"/>
          <w:szCs w:val="32"/>
          <w:lang w:val="en-US" w:eastAsia="zh-CN"/>
        </w:rPr>
        <w:t>三</w:t>
      </w:r>
      <w:r>
        <w:rPr>
          <w:rFonts w:hint="eastAsia" w:ascii="仿宋_GB2312" w:hAnsi="仿宋" w:eastAsia="仿宋_GB2312" w:cs="宋体"/>
          <w:color w:val="auto"/>
          <w:kern w:val="0"/>
          <w:sz w:val="32"/>
          <w:szCs w:val="32"/>
          <w:lang w:eastAsia="zh-CN"/>
        </w:rPr>
        <w:t>）</w:t>
      </w:r>
      <w:r>
        <w:rPr>
          <w:rFonts w:hint="eastAsia" w:ascii="仿宋_GB2312" w:hAnsi="仿宋" w:eastAsia="仿宋_GB2312" w:cs="宋体"/>
          <w:color w:val="auto"/>
          <w:kern w:val="0"/>
          <w:sz w:val="32"/>
          <w:szCs w:val="32"/>
        </w:rPr>
        <w:t>抽审组织与差异化抽查比例</w:t>
      </w:r>
      <w:r>
        <w:rPr>
          <w:rFonts w:hint="eastAsia" w:ascii="仿宋_GB2312" w:hAnsi="仿宋" w:eastAsia="仿宋_GB2312" w:cs="宋体"/>
          <w:color w:val="auto"/>
          <w:kern w:val="0"/>
          <w:sz w:val="32"/>
          <w:szCs w:val="32"/>
          <w:lang w:eastAsia="zh-CN"/>
        </w:rPr>
        <w:t>。由区政府统筹安排，审计部门具体实施抽审，结合项目类型、投资规模、行业风险实行差异化抽查比例：</w:t>
      </w:r>
    </w:p>
    <w:p w14:paraId="5C2D98B3">
      <w:pPr>
        <w:keepNext w:val="0"/>
        <w:keepLines w:val="0"/>
        <w:pageBreakBefore w:val="0"/>
        <w:widowControl/>
        <w:numPr>
          <w:ilvl w:val="0"/>
          <w:numId w:val="4"/>
        </w:numPr>
        <w:kinsoku/>
        <w:wordWrap/>
        <w:overflowPunct/>
        <w:topLinePunct w:val="0"/>
        <w:autoSpaceDE/>
        <w:autoSpaceDN/>
        <w:bidi w:val="0"/>
        <w:adjustRightInd/>
        <w:snapToGrid/>
        <w:spacing w:after="156" w:afterLines="50" w:line="560" w:lineRule="exact"/>
        <w:ind w:left="0" w:leftChars="0" w:firstLine="640" w:firstLineChars="200"/>
        <w:jc w:val="left"/>
        <w:textAlignment w:val="auto"/>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 xml:space="preserve">常规小型修缮、零星配套类低风险项目，抽审比例不低于 </w:t>
      </w:r>
      <w:r>
        <w:rPr>
          <w:rFonts w:hint="eastAsia" w:ascii="仿宋_GB2312" w:hAnsi="仿宋" w:eastAsia="仿宋_GB2312" w:cs="宋体"/>
          <w:color w:val="auto"/>
          <w:kern w:val="0"/>
          <w:sz w:val="32"/>
          <w:szCs w:val="32"/>
          <w:lang w:val="en-US" w:eastAsia="zh-CN"/>
        </w:rPr>
        <w:t>10</w:t>
      </w:r>
      <w:r>
        <w:rPr>
          <w:rFonts w:hint="eastAsia" w:ascii="仿宋_GB2312" w:hAnsi="仿宋" w:eastAsia="仿宋_GB2312" w:cs="宋体"/>
          <w:color w:val="auto"/>
          <w:kern w:val="0"/>
          <w:sz w:val="32"/>
          <w:szCs w:val="32"/>
        </w:rPr>
        <w:t>%；</w:t>
      </w:r>
    </w:p>
    <w:p w14:paraId="22F39A40">
      <w:pPr>
        <w:keepNext w:val="0"/>
        <w:keepLines w:val="0"/>
        <w:pageBreakBefore w:val="0"/>
        <w:widowControl/>
        <w:numPr>
          <w:ilvl w:val="0"/>
          <w:numId w:val="4"/>
        </w:numPr>
        <w:kinsoku/>
        <w:wordWrap/>
        <w:overflowPunct/>
        <w:topLinePunct w:val="0"/>
        <w:autoSpaceDE/>
        <w:autoSpaceDN/>
        <w:bidi w:val="0"/>
        <w:adjustRightInd/>
        <w:snapToGrid/>
        <w:spacing w:after="156" w:afterLines="50" w:line="560" w:lineRule="exact"/>
        <w:ind w:left="0" w:leftChars="0" w:firstLine="640" w:firstLineChars="200"/>
        <w:jc w:val="left"/>
        <w:textAlignment w:val="auto"/>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新建房建、市政交通、水利、大额信息化、</w:t>
      </w:r>
      <w:r>
        <w:rPr>
          <w:rFonts w:hint="eastAsia" w:ascii="仿宋_GB2312" w:hAnsi="仿宋" w:eastAsia="仿宋_GB2312" w:cs="宋体"/>
          <w:color w:val="auto"/>
          <w:kern w:val="0"/>
          <w:sz w:val="32"/>
          <w:szCs w:val="32"/>
          <w:lang w:val="en-US" w:eastAsia="zh-CN"/>
        </w:rPr>
        <w:t>园林绿化</w:t>
      </w:r>
      <w:r>
        <w:rPr>
          <w:rFonts w:hint="eastAsia" w:ascii="仿宋_GB2312" w:hAnsi="仿宋" w:eastAsia="仿宋_GB2312" w:cs="宋体"/>
          <w:color w:val="auto"/>
          <w:kern w:val="0"/>
          <w:sz w:val="32"/>
          <w:szCs w:val="32"/>
        </w:rPr>
        <w:t>等高风险项目，抽审比例不低于</w:t>
      </w:r>
      <w:r>
        <w:rPr>
          <w:rFonts w:hint="eastAsia" w:ascii="仿宋_GB2312" w:hAnsi="仿宋" w:eastAsia="仿宋_GB2312" w:cs="宋体"/>
          <w:color w:val="auto"/>
          <w:kern w:val="0"/>
          <w:sz w:val="32"/>
          <w:szCs w:val="32"/>
          <w:lang w:val="en-US" w:eastAsia="zh-CN"/>
        </w:rPr>
        <w:t>30</w:t>
      </w:r>
      <w:r>
        <w:rPr>
          <w:rFonts w:hint="eastAsia" w:ascii="仿宋_GB2312" w:hAnsi="仿宋" w:eastAsia="仿宋_GB2312" w:cs="宋体"/>
          <w:color w:val="auto"/>
          <w:kern w:val="0"/>
          <w:sz w:val="32"/>
          <w:szCs w:val="32"/>
        </w:rPr>
        <w:t>%；</w:t>
      </w:r>
    </w:p>
    <w:p w14:paraId="1883E871">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可根据年度财政监管重点、历年造价问题高发领域动态调整抽查覆盖范围与抽查比例。</w:t>
      </w:r>
    </w:p>
    <w:p w14:paraId="2D2B176A">
      <w:pPr>
        <w:widowControl/>
        <w:spacing w:after="156" w:afterLines="50" w:line="560" w:lineRule="exact"/>
        <w:ind w:firstLine="640" w:firstLineChars="200"/>
        <w:jc w:val="left"/>
        <w:rPr>
          <w:rFonts w:hint="default" w:ascii="仿宋_GB2312" w:hAnsi="仿宋" w:eastAsia="仿宋_GB2312" w:cs="宋体"/>
          <w:color w:val="auto"/>
          <w:kern w:val="0"/>
          <w:sz w:val="32"/>
          <w:szCs w:val="32"/>
          <w:lang w:val="en-US" w:eastAsia="zh-CN"/>
        </w:rPr>
      </w:pPr>
      <w:r>
        <w:rPr>
          <w:rFonts w:hint="eastAsia" w:ascii="仿宋_GB2312" w:hAnsi="仿宋" w:eastAsia="仿宋_GB2312" w:cs="宋体"/>
          <w:color w:val="auto"/>
          <w:kern w:val="0"/>
          <w:sz w:val="32"/>
          <w:szCs w:val="32"/>
          <w:lang w:eastAsia="zh-CN"/>
        </w:rPr>
        <w:t>（</w:t>
      </w:r>
      <w:r>
        <w:rPr>
          <w:rFonts w:hint="eastAsia" w:ascii="仿宋_GB2312" w:hAnsi="仿宋" w:eastAsia="仿宋_GB2312" w:cs="宋体"/>
          <w:color w:val="auto"/>
          <w:kern w:val="0"/>
          <w:sz w:val="32"/>
          <w:szCs w:val="32"/>
          <w:lang w:val="en-US" w:eastAsia="zh-CN"/>
        </w:rPr>
        <w:t>四</w:t>
      </w:r>
      <w:r>
        <w:rPr>
          <w:rFonts w:hint="eastAsia" w:ascii="仿宋_GB2312" w:hAnsi="仿宋" w:eastAsia="仿宋_GB2312" w:cs="宋体"/>
          <w:color w:val="auto"/>
          <w:kern w:val="0"/>
          <w:sz w:val="32"/>
          <w:szCs w:val="32"/>
          <w:lang w:eastAsia="zh-CN"/>
        </w:rPr>
        <w:t>）内部审核管控指标。以项目单位自行结算审定金额为基数，对照抽审审定造价核算结算误差率。设置 3% 审减误差管控指标，该指标仅作为内部考核、日常监督管理参考标准；</w:t>
      </w:r>
    </w:p>
    <w:p w14:paraId="3FE168A2">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lang w:eastAsia="zh-CN"/>
        </w:rPr>
        <w:t>若抽审审减金额超出 3% 内部管控指标，视为项目单位结算审核工作存在履职瑕疵、审核把关不严。</w:t>
      </w:r>
    </w:p>
    <w:p w14:paraId="7B5CECDE">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lang w:eastAsia="zh-CN"/>
        </w:rPr>
        <w:t>对误差超标项目，第一时间约谈项目单位及直接经办、审核负责人，给予全区通报等监督管理措施；造成财政资金损失浪费、违规情节较重的，依规移交纪检监察机关</w:t>
      </w:r>
      <w:r>
        <w:rPr>
          <w:rFonts w:hint="eastAsia" w:ascii="仿宋_GB2312" w:hAnsi="仿宋" w:eastAsia="仿宋_GB2312" w:cs="宋体"/>
          <w:color w:val="auto"/>
          <w:kern w:val="0"/>
          <w:sz w:val="32"/>
          <w:szCs w:val="32"/>
          <w:lang w:val="en-US" w:eastAsia="zh-CN"/>
        </w:rPr>
        <w:t>处理</w:t>
      </w:r>
      <w:r>
        <w:rPr>
          <w:rFonts w:hint="eastAsia" w:ascii="仿宋_GB2312" w:hAnsi="仿宋" w:eastAsia="仿宋_GB2312" w:cs="宋体"/>
          <w:color w:val="auto"/>
          <w:kern w:val="0"/>
          <w:sz w:val="32"/>
          <w:szCs w:val="32"/>
          <w:lang w:eastAsia="zh-CN"/>
        </w:rPr>
        <w:t>；涉嫌违法犯罪的，移送司法机关</w:t>
      </w:r>
      <w:r>
        <w:rPr>
          <w:rFonts w:hint="eastAsia" w:ascii="仿宋_GB2312" w:hAnsi="仿宋" w:eastAsia="仿宋_GB2312" w:cs="宋体"/>
          <w:color w:val="auto"/>
          <w:kern w:val="0"/>
          <w:sz w:val="32"/>
          <w:szCs w:val="32"/>
          <w:lang w:val="en-US" w:eastAsia="zh-CN"/>
        </w:rPr>
        <w:t>追究刑事责任</w:t>
      </w:r>
      <w:r>
        <w:rPr>
          <w:rFonts w:hint="eastAsia" w:ascii="仿宋_GB2312" w:hAnsi="仿宋" w:eastAsia="仿宋_GB2312" w:cs="宋体"/>
          <w:color w:val="auto"/>
          <w:kern w:val="0"/>
          <w:sz w:val="32"/>
          <w:szCs w:val="32"/>
          <w:lang w:eastAsia="zh-CN"/>
        </w:rPr>
        <w:t>。</w:t>
      </w:r>
    </w:p>
    <w:p w14:paraId="7218075E">
      <w:pPr>
        <w:widowControl/>
        <w:spacing w:after="156"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lang w:eastAsia="zh-CN"/>
        </w:rPr>
        <w:t>（</w:t>
      </w:r>
      <w:r>
        <w:rPr>
          <w:rFonts w:hint="eastAsia" w:ascii="仿宋_GB2312" w:hAnsi="仿宋" w:eastAsia="仿宋_GB2312" w:cs="宋体"/>
          <w:color w:val="auto"/>
          <w:kern w:val="0"/>
          <w:sz w:val="32"/>
          <w:szCs w:val="32"/>
          <w:lang w:val="en-US" w:eastAsia="zh-CN"/>
        </w:rPr>
        <w:t>五</w:t>
      </w:r>
      <w:r>
        <w:rPr>
          <w:rFonts w:hint="eastAsia" w:ascii="仿宋_GB2312" w:hAnsi="仿宋" w:eastAsia="仿宋_GB2312" w:cs="宋体"/>
          <w:color w:val="auto"/>
          <w:kern w:val="0"/>
          <w:sz w:val="32"/>
          <w:szCs w:val="32"/>
          <w:lang w:eastAsia="zh-CN"/>
        </w:rPr>
        <w:t>）</w:t>
      </w:r>
      <w:r>
        <w:rPr>
          <w:rFonts w:hint="eastAsia" w:ascii="仿宋_GB2312" w:hAnsi="仿宋" w:eastAsia="仿宋_GB2312" w:cs="宋体"/>
          <w:color w:val="auto"/>
          <w:kern w:val="0"/>
          <w:sz w:val="32"/>
          <w:szCs w:val="32"/>
        </w:rPr>
        <w:t>主体责任约束</w:t>
      </w:r>
      <w:r>
        <w:rPr>
          <w:rFonts w:hint="eastAsia" w:ascii="仿宋_GB2312" w:hAnsi="仿宋" w:eastAsia="仿宋_GB2312" w:cs="宋体"/>
          <w:color w:val="auto"/>
          <w:kern w:val="0"/>
          <w:sz w:val="32"/>
          <w:szCs w:val="32"/>
          <w:lang w:eastAsia="zh-CN"/>
        </w:rPr>
        <w:t>。</w:t>
      </w:r>
      <w:r>
        <w:rPr>
          <w:rFonts w:hint="eastAsia" w:ascii="仿宋_GB2312" w:hAnsi="仿宋" w:eastAsia="仿宋_GB2312" w:cs="宋体"/>
          <w:color w:val="auto"/>
          <w:kern w:val="0"/>
          <w:sz w:val="32"/>
          <w:szCs w:val="32"/>
        </w:rPr>
        <w:t>压实</w:t>
      </w:r>
      <w:r>
        <w:rPr>
          <w:rFonts w:hint="eastAsia" w:ascii="仿宋_GB2312" w:hAnsi="仿宋" w:eastAsia="仿宋_GB2312" w:cs="宋体"/>
          <w:color w:val="auto"/>
          <w:kern w:val="0"/>
          <w:sz w:val="32"/>
          <w:szCs w:val="32"/>
          <w:lang w:eastAsia="zh-CN"/>
        </w:rPr>
        <w:t>项目单位</w:t>
      </w:r>
      <w:r>
        <w:rPr>
          <w:rFonts w:hint="eastAsia" w:ascii="仿宋_GB2312" w:hAnsi="仿宋" w:eastAsia="仿宋_GB2312" w:cs="宋体"/>
          <w:color w:val="auto"/>
          <w:kern w:val="0"/>
          <w:sz w:val="32"/>
          <w:szCs w:val="32"/>
        </w:rPr>
        <w:t>结算管理主体责任，项目单位须严格把控工程量、定额套用、材料价格、取费标准等关键审核关口，对报送财政备案的全部结算</w:t>
      </w:r>
      <w:bookmarkStart w:id="4" w:name="_GoBack"/>
      <w:bookmarkEnd w:id="4"/>
      <w:r>
        <w:rPr>
          <w:rFonts w:hint="eastAsia" w:ascii="仿宋_GB2312" w:hAnsi="仿宋" w:eastAsia="仿宋_GB2312" w:cs="宋体"/>
          <w:color w:val="auto"/>
          <w:kern w:val="0"/>
          <w:sz w:val="32"/>
          <w:szCs w:val="32"/>
        </w:rPr>
        <w:t>数据真实性、准确性、完整</w:t>
      </w:r>
      <w:r>
        <w:rPr>
          <w:rFonts w:hint="eastAsia" w:ascii="仿宋_GB2312" w:hAnsi="仿宋" w:eastAsia="仿宋_GB2312" w:cs="宋体"/>
          <w:color w:val="auto"/>
          <w:kern w:val="0"/>
          <w:sz w:val="32"/>
          <w:szCs w:val="32"/>
          <w:lang w:val="en-US" w:eastAsia="zh-CN"/>
        </w:rPr>
        <w:t>性</w:t>
      </w:r>
      <w:r>
        <w:rPr>
          <w:rFonts w:hint="eastAsia" w:ascii="仿宋_GB2312" w:hAnsi="仿宋" w:eastAsia="仿宋_GB2312" w:cs="宋体"/>
          <w:color w:val="auto"/>
          <w:kern w:val="0"/>
          <w:sz w:val="32"/>
          <w:szCs w:val="32"/>
        </w:rPr>
        <w:t>负责。</w:t>
      </w:r>
    </w:p>
    <w:p w14:paraId="5DBED183">
      <w:pPr>
        <w:widowControl/>
        <w:shd w:val="clear" w:color="auto" w:fill="FFFFFF"/>
        <w:spacing w:after="156" w:afterLines="50" w:line="560" w:lineRule="exact"/>
        <w:jc w:val="center"/>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第九章</w:t>
      </w:r>
      <w:r>
        <w:rPr>
          <w:rFonts w:hint="eastAsia" w:ascii="黑体" w:hAnsi="黑体" w:eastAsia="黑体" w:cs="宋体"/>
          <w:color w:val="auto"/>
          <w:kern w:val="0"/>
          <w:sz w:val="32"/>
          <w:szCs w:val="32"/>
        </w:rPr>
        <w:tab/>
      </w:r>
      <w:r>
        <w:rPr>
          <w:rFonts w:hint="eastAsia" w:ascii="黑体" w:hAnsi="黑体" w:eastAsia="黑体" w:cs="宋体"/>
          <w:color w:val="auto"/>
          <w:kern w:val="0"/>
          <w:sz w:val="32"/>
          <w:szCs w:val="32"/>
        </w:rPr>
        <w:t>项目监督管理</w:t>
      </w:r>
    </w:p>
    <w:p w14:paraId="59EB6984">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第四十</w:t>
      </w:r>
      <w:r>
        <w:rPr>
          <w:rFonts w:hint="eastAsia" w:ascii="仿宋_GB2312" w:hAnsi="仿宋" w:eastAsia="仿宋_GB2312" w:cs="宋体"/>
          <w:b/>
          <w:bCs/>
          <w:color w:val="auto"/>
          <w:kern w:val="0"/>
          <w:sz w:val="32"/>
          <w:szCs w:val="32"/>
          <w:lang w:val="en-US" w:eastAsia="zh-CN"/>
        </w:rPr>
        <w:t>七</w:t>
      </w:r>
      <w:r>
        <w:rPr>
          <w:rFonts w:hint="eastAsia" w:ascii="仿宋_GB2312" w:hAnsi="仿宋" w:eastAsia="仿宋_GB2312" w:cs="宋体"/>
          <w:b/>
          <w:bCs/>
          <w:color w:val="auto"/>
          <w:kern w:val="0"/>
          <w:sz w:val="32"/>
          <w:szCs w:val="32"/>
        </w:rPr>
        <w:t>条</w:t>
      </w:r>
      <w:r>
        <w:rPr>
          <w:rFonts w:hint="eastAsia" w:ascii="仿宋_GB2312" w:hAnsi="仿宋" w:eastAsia="仿宋_GB2312" w:cs="宋体"/>
          <w:color w:val="auto"/>
          <w:kern w:val="0"/>
          <w:sz w:val="32"/>
          <w:szCs w:val="32"/>
        </w:rPr>
        <w:t xml:space="preserve"> 项目单位（含区属国有投资公司）作为项目管理的第一责任主体，应按照“谁实施、谁负责”的原则，承担项目全生命周期的管理职责。</w:t>
      </w:r>
    </w:p>
    <w:p w14:paraId="403CA41F">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（一）项目单位在项目招标投标及工程实施过程中，应切实履行防范工程违法转包，以及施工安全、工程质量监管的首要责任，强化对人员、资金和参建单位的日常跟踪管理。</w:t>
      </w:r>
    </w:p>
    <w:p w14:paraId="6D0A3BD8">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（二）项目主管部门应依据自身职责，会同项目单位对项目实施情况进行监督与管理，督促项目单位落实各项责任，确保项目按计划和要求有序推进。</w:t>
      </w:r>
    </w:p>
    <w:p w14:paraId="5DFEA841">
      <w:pPr>
        <w:widowControl/>
        <w:spacing w:after="156" w:afterLines="50" w:line="560" w:lineRule="exact"/>
        <w:ind w:firstLine="640" w:firstLineChars="200"/>
        <w:jc w:val="left"/>
        <w:rPr>
          <w:rFonts w:hint="eastAsia" w:ascii="仿宋_GB2312" w:hAnsi="仿宋" w:eastAsia="仿宋_GB2312" w:cs="宋体"/>
          <w:strike/>
          <w:color w:val="auto"/>
          <w:kern w:val="0"/>
          <w:sz w:val="32"/>
          <w:szCs w:val="32"/>
        </w:rPr>
      </w:pPr>
      <w:r>
        <w:rPr>
          <w:rFonts w:hint="eastAsia" w:ascii="仿宋_GB2312" w:hAnsi="仿宋" w:eastAsia="仿宋_GB2312" w:cs="宋体"/>
          <w:color w:val="auto"/>
          <w:kern w:val="0"/>
          <w:sz w:val="32"/>
          <w:szCs w:val="32"/>
        </w:rPr>
        <w:t>（三）</w:t>
      </w:r>
      <w:r>
        <w:rPr>
          <w:rFonts w:hint="eastAsia" w:ascii="仿宋_GB2312" w:hAnsi="仿宋" w:eastAsia="仿宋_GB2312" w:cs="宋体"/>
          <w:color w:val="auto"/>
          <w:kern w:val="0"/>
          <w:sz w:val="32"/>
          <w:szCs w:val="32"/>
          <w:lang w:val="en-US" w:eastAsia="zh-CN"/>
        </w:rPr>
        <w:t>发改</w:t>
      </w:r>
      <w:r>
        <w:rPr>
          <w:rFonts w:hint="eastAsia" w:ascii="仿宋_GB2312" w:hAnsi="仿宋" w:eastAsia="仿宋_GB2312" w:cs="宋体"/>
          <w:color w:val="auto"/>
          <w:kern w:val="0"/>
          <w:sz w:val="32"/>
          <w:szCs w:val="32"/>
        </w:rPr>
        <w:t>部门负责统筹管理基本建设项目的投资计划，会同各相关部门构建责任明晰、分工协作、配合联动、上下衔接的项目管理机制。</w:t>
      </w:r>
    </w:p>
    <w:p w14:paraId="42D6ECEF">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color w:val="auto"/>
          <w:kern w:val="0"/>
          <w:sz w:val="32"/>
          <w:szCs w:val="32"/>
          <w:u w:val="none"/>
        </w:rPr>
        <w:t>（四）财政部门负责项目资金的预算管理与监督，并参与项目前期评估论证、设计复审等工作。</w:t>
      </w:r>
    </w:p>
    <w:p w14:paraId="4F283CAB">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（五）</w:t>
      </w:r>
      <w:r>
        <w:rPr>
          <w:rFonts w:hint="eastAsia" w:ascii="仿宋_GB2312" w:hAnsi="仿宋" w:eastAsia="仿宋_GB2312" w:cs="宋体"/>
          <w:color w:val="auto"/>
          <w:kern w:val="0"/>
          <w:sz w:val="32"/>
          <w:szCs w:val="32"/>
          <w:lang w:val="en-US" w:eastAsia="zh-CN"/>
        </w:rPr>
        <w:t>住建</w:t>
      </w:r>
      <w:r>
        <w:rPr>
          <w:rFonts w:hint="eastAsia" w:ascii="仿宋_GB2312" w:hAnsi="仿宋" w:eastAsia="仿宋_GB2312" w:cs="宋体"/>
          <w:color w:val="auto"/>
          <w:kern w:val="0"/>
          <w:sz w:val="32"/>
          <w:szCs w:val="32"/>
        </w:rPr>
        <w:t>、</w:t>
      </w:r>
      <w:r>
        <w:rPr>
          <w:rFonts w:hint="eastAsia" w:ascii="仿宋_GB2312" w:hAnsi="仿宋" w:eastAsia="仿宋_GB2312" w:cs="宋体"/>
          <w:color w:val="auto"/>
          <w:kern w:val="0"/>
          <w:sz w:val="32"/>
          <w:szCs w:val="32"/>
          <w:lang w:val="en-US" w:eastAsia="zh-CN"/>
        </w:rPr>
        <w:t>教体</w:t>
      </w:r>
      <w:r>
        <w:rPr>
          <w:rFonts w:hint="eastAsia" w:ascii="仿宋_GB2312" w:hAnsi="仿宋" w:eastAsia="仿宋_GB2312" w:cs="宋体"/>
          <w:color w:val="auto"/>
          <w:kern w:val="0"/>
          <w:sz w:val="32"/>
          <w:szCs w:val="32"/>
        </w:rPr>
        <w:t>、交通、水利、自然资源、生态环境、农业农村、应急管理、公共资源、市场监管、</w:t>
      </w:r>
      <w:r>
        <w:rPr>
          <w:rFonts w:hint="eastAsia" w:ascii="仿宋_GB2312" w:hAnsi="仿宋" w:eastAsia="仿宋_GB2312" w:cs="宋体"/>
          <w:color w:val="auto"/>
          <w:kern w:val="0"/>
          <w:sz w:val="32"/>
          <w:szCs w:val="32"/>
          <w:lang w:val="en-US" w:eastAsia="zh-CN"/>
        </w:rPr>
        <w:t>审信</w:t>
      </w:r>
      <w:r>
        <w:rPr>
          <w:rFonts w:hint="eastAsia" w:ascii="仿宋_GB2312" w:hAnsi="仿宋" w:eastAsia="仿宋_GB2312" w:cs="宋体"/>
          <w:color w:val="auto"/>
          <w:kern w:val="0"/>
          <w:sz w:val="32"/>
          <w:szCs w:val="32"/>
        </w:rPr>
        <w:t>部门及相关职能部门应当按照职责分工，履行相应的监督管理职责。</w:t>
      </w:r>
    </w:p>
    <w:p w14:paraId="6D00F037">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第四十</w:t>
      </w:r>
      <w:r>
        <w:rPr>
          <w:rFonts w:hint="eastAsia" w:ascii="仿宋_GB2312" w:hAnsi="仿宋" w:eastAsia="仿宋_GB2312" w:cs="宋体"/>
          <w:b/>
          <w:bCs/>
          <w:color w:val="auto"/>
          <w:kern w:val="0"/>
          <w:sz w:val="32"/>
          <w:szCs w:val="32"/>
          <w:lang w:val="en-US" w:eastAsia="zh-CN"/>
        </w:rPr>
        <w:t>八</w:t>
      </w:r>
      <w:r>
        <w:rPr>
          <w:rFonts w:hint="eastAsia" w:ascii="仿宋_GB2312" w:hAnsi="仿宋" w:eastAsia="仿宋_GB2312" w:cs="宋体"/>
          <w:b/>
          <w:bCs/>
          <w:color w:val="auto"/>
          <w:kern w:val="0"/>
          <w:sz w:val="32"/>
          <w:szCs w:val="32"/>
        </w:rPr>
        <w:t>条</w:t>
      </w:r>
      <w:r>
        <w:rPr>
          <w:rFonts w:hint="eastAsia" w:ascii="仿宋_GB2312" w:hAnsi="仿宋" w:eastAsia="仿宋_GB2312" w:cs="宋体"/>
          <w:color w:val="auto"/>
          <w:kern w:val="0"/>
          <w:sz w:val="32"/>
          <w:szCs w:val="32"/>
        </w:rPr>
        <w:t xml:space="preserve"> 对于总投资5000万元以上的重大基础设施及民生工程项目（简称</w:t>
      </w:r>
      <w:r>
        <w:rPr>
          <w:rFonts w:hint="eastAsia" w:ascii="仿宋_GB2312" w:hAnsi="仿宋" w:eastAsia="仿宋_GB2312" w:cs="宋体"/>
          <w:color w:val="auto"/>
          <w:kern w:val="0"/>
          <w:sz w:val="32"/>
          <w:szCs w:val="32"/>
          <w:lang w:eastAsia="zh-CN"/>
        </w:rPr>
        <w:t>“</w:t>
      </w:r>
      <w:r>
        <w:rPr>
          <w:rFonts w:hint="eastAsia" w:ascii="仿宋_GB2312" w:hAnsi="仿宋" w:eastAsia="仿宋_GB2312" w:cs="宋体"/>
          <w:color w:val="auto"/>
          <w:kern w:val="0"/>
          <w:sz w:val="32"/>
          <w:szCs w:val="32"/>
        </w:rPr>
        <w:t>重大项目</w:t>
      </w:r>
      <w:r>
        <w:rPr>
          <w:rFonts w:hint="eastAsia" w:ascii="仿宋_GB2312" w:hAnsi="仿宋" w:eastAsia="仿宋_GB2312" w:cs="宋体"/>
          <w:color w:val="auto"/>
          <w:kern w:val="0"/>
          <w:sz w:val="32"/>
          <w:szCs w:val="32"/>
          <w:lang w:eastAsia="zh-CN"/>
        </w:rPr>
        <w:t>”</w:t>
      </w:r>
      <w:r>
        <w:rPr>
          <w:rFonts w:hint="eastAsia" w:ascii="仿宋_GB2312" w:hAnsi="仿宋" w:eastAsia="仿宋_GB2312" w:cs="宋体"/>
          <w:color w:val="auto"/>
          <w:kern w:val="0"/>
          <w:sz w:val="32"/>
          <w:szCs w:val="32"/>
        </w:rPr>
        <w:t>），还应落实以下监管措施：</w:t>
      </w:r>
    </w:p>
    <w:p w14:paraId="1AA0E754">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（一）建立项目前期工作会审制度。重大项目公开招标前,项目单位须组织</w:t>
      </w:r>
      <w:r>
        <w:rPr>
          <w:rFonts w:hint="eastAsia" w:ascii="仿宋_GB2312" w:hAnsi="仿宋" w:eastAsia="仿宋_GB2312" w:cs="宋体"/>
          <w:color w:val="auto"/>
          <w:kern w:val="0"/>
          <w:sz w:val="32"/>
          <w:szCs w:val="32"/>
          <w:lang w:val="en-US" w:eastAsia="zh-CN"/>
        </w:rPr>
        <w:t>纪检</w:t>
      </w:r>
      <w:r>
        <w:rPr>
          <w:rFonts w:hint="eastAsia" w:ascii="仿宋_GB2312" w:hAnsi="仿宋" w:eastAsia="仿宋_GB2312" w:cs="宋体"/>
          <w:color w:val="auto"/>
          <w:kern w:val="0"/>
          <w:sz w:val="32"/>
          <w:szCs w:val="32"/>
        </w:rPr>
        <w:t>、</w:t>
      </w:r>
      <w:r>
        <w:rPr>
          <w:rFonts w:hint="eastAsia" w:ascii="仿宋_GB2312" w:hAnsi="仿宋" w:eastAsia="仿宋_GB2312" w:cs="宋体"/>
          <w:color w:val="auto"/>
          <w:kern w:val="0"/>
          <w:sz w:val="32"/>
          <w:szCs w:val="32"/>
          <w:lang w:val="en-US" w:eastAsia="zh-CN"/>
        </w:rPr>
        <w:t>住建</w:t>
      </w:r>
      <w:r>
        <w:rPr>
          <w:rFonts w:hint="eastAsia" w:ascii="仿宋_GB2312" w:hAnsi="仿宋" w:eastAsia="仿宋_GB2312" w:cs="宋体"/>
          <w:color w:val="auto"/>
          <w:kern w:val="0"/>
          <w:sz w:val="32"/>
          <w:szCs w:val="32"/>
        </w:rPr>
        <w:t>、财政、审计等部门人员召开会审会议,听取项目概算批复、限额设计、预算评审、招标方案等工作情况,增强工作透明度;</w:t>
      </w:r>
    </w:p>
    <w:p w14:paraId="5F9D4933">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color w:val="auto"/>
          <w:kern w:val="0"/>
          <w:sz w:val="32"/>
          <w:szCs w:val="32"/>
          <w:u w:val="none"/>
          <w:lang w:eastAsia="zh-CN"/>
        </w:rPr>
        <w:t>（</w:t>
      </w:r>
      <w:r>
        <w:rPr>
          <w:rFonts w:hint="eastAsia" w:ascii="仿宋_GB2312" w:hAnsi="仿宋" w:eastAsia="仿宋_GB2312" w:cs="宋体"/>
          <w:color w:val="auto"/>
          <w:kern w:val="0"/>
          <w:sz w:val="32"/>
          <w:szCs w:val="32"/>
          <w:u w:val="none"/>
          <w:lang w:val="en-US" w:eastAsia="zh-CN"/>
        </w:rPr>
        <w:t>二</w:t>
      </w:r>
      <w:r>
        <w:rPr>
          <w:rFonts w:hint="eastAsia" w:ascii="仿宋_GB2312" w:hAnsi="仿宋" w:eastAsia="仿宋_GB2312" w:cs="宋体"/>
          <w:color w:val="auto"/>
          <w:kern w:val="0"/>
          <w:sz w:val="32"/>
          <w:szCs w:val="32"/>
          <w:u w:val="none"/>
          <w:lang w:eastAsia="zh-CN"/>
        </w:rPr>
        <w:t>）</w:t>
      </w:r>
      <w:r>
        <w:rPr>
          <w:rFonts w:hint="eastAsia" w:ascii="仿宋_GB2312" w:hAnsi="仿宋" w:eastAsia="仿宋_GB2312" w:cs="宋体"/>
          <w:color w:val="auto"/>
          <w:kern w:val="0"/>
          <w:sz w:val="32"/>
          <w:szCs w:val="32"/>
          <w:u w:val="none"/>
        </w:rPr>
        <w:t>项目单位应当选取具备相应资质的工程造价咨询机构，对重大项目开展全过程造价咨询；</w:t>
      </w:r>
    </w:p>
    <w:p w14:paraId="3C34423C">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w:t>
      </w:r>
      <w:r>
        <w:rPr>
          <w:rFonts w:hint="eastAsia" w:ascii="仿宋_GB2312" w:hAnsi="仿宋" w:eastAsia="仿宋_GB2312" w:cs="宋体"/>
          <w:color w:val="auto"/>
          <w:kern w:val="0"/>
          <w:sz w:val="32"/>
          <w:szCs w:val="32"/>
          <w:lang w:val="en-US" w:eastAsia="zh-CN"/>
        </w:rPr>
        <w:t>三</w:t>
      </w:r>
      <w:r>
        <w:rPr>
          <w:rFonts w:hint="eastAsia" w:ascii="仿宋_GB2312" w:hAnsi="仿宋" w:eastAsia="仿宋_GB2312" w:cs="宋体"/>
          <w:color w:val="auto"/>
          <w:kern w:val="0"/>
          <w:sz w:val="32"/>
          <w:szCs w:val="32"/>
        </w:rPr>
        <w:t>）</w:t>
      </w:r>
      <w:r>
        <w:rPr>
          <w:rFonts w:hint="eastAsia" w:ascii="仿宋_GB2312" w:hAnsi="仿宋" w:eastAsia="仿宋_GB2312" w:cs="宋体"/>
          <w:color w:val="auto"/>
          <w:kern w:val="0"/>
          <w:sz w:val="32"/>
          <w:szCs w:val="32"/>
          <w:lang w:val="en-US" w:eastAsia="zh-CN"/>
        </w:rPr>
        <w:t>住建</w:t>
      </w:r>
      <w:r>
        <w:rPr>
          <w:rFonts w:hint="eastAsia" w:ascii="仿宋_GB2312" w:hAnsi="仿宋" w:eastAsia="仿宋_GB2312" w:cs="宋体"/>
          <w:color w:val="auto"/>
          <w:kern w:val="0"/>
          <w:sz w:val="32"/>
          <w:szCs w:val="32"/>
        </w:rPr>
        <w:t>、</w:t>
      </w:r>
      <w:r>
        <w:rPr>
          <w:rFonts w:hint="eastAsia" w:ascii="仿宋_GB2312" w:hAnsi="仿宋" w:eastAsia="仿宋_GB2312" w:cs="宋体"/>
          <w:color w:val="auto"/>
          <w:kern w:val="0"/>
          <w:sz w:val="32"/>
          <w:szCs w:val="32"/>
          <w:lang w:val="en-US" w:eastAsia="zh-CN"/>
        </w:rPr>
        <w:t>发改</w:t>
      </w:r>
      <w:r>
        <w:rPr>
          <w:rFonts w:hint="eastAsia" w:ascii="仿宋_GB2312" w:hAnsi="仿宋" w:eastAsia="仿宋_GB2312" w:cs="宋体"/>
          <w:color w:val="auto"/>
          <w:kern w:val="0"/>
          <w:sz w:val="32"/>
          <w:szCs w:val="32"/>
        </w:rPr>
        <w:t>、交通、公路、公安、自然资源等部门，应当会同项目单位，加强对重大项目实施情况、施工企业资质、监理单位履约等方面的监督；</w:t>
      </w:r>
    </w:p>
    <w:p w14:paraId="5F68E3C6">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w:t>
      </w:r>
      <w:r>
        <w:rPr>
          <w:rFonts w:hint="eastAsia" w:ascii="仿宋_GB2312" w:hAnsi="仿宋" w:eastAsia="仿宋_GB2312" w:cs="宋体"/>
          <w:color w:val="auto"/>
          <w:kern w:val="0"/>
          <w:sz w:val="32"/>
          <w:szCs w:val="32"/>
          <w:lang w:val="en-US" w:eastAsia="zh-CN"/>
        </w:rPr>
        <w:t>四</w:t>
      </w:r>
      <w:r>
        <w:rPr>
          <w:rFonts w:hint="eastAsia" w:ascii="仿宋_GB2312" w:hAnsi="仿宋" w:eastAsia="仿宋_GB2312" w:cs="宋体"/>
          <w:color w:val="auto"/>
          <w:kern w:val="0"/>
          <w:sz w:val="32"/>
          <w:szCs w:val="32"/>
        </w:rPr>
        <w:t>）重大项目在立项审批、招投标、合同签订、竣工验收、决算审计等关键节点完成后，项目单位应于5个工作日内将有关情况向单位派驻纪检监察组报告，以便跟进监督；</w:t>
      </w:r>
    </w:p>
    <w:p w14:paraId="48A6EF37">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color w:val="auto"/>
          <w:kern w:val="0"/>
          <w:sz w:val="32"/>
          <w:szCs w:val="32"/>
          <w:u w:val="none"/>
        </w:rPr>
        <w:t>（</w:t>
      </w:r>
      <w:r>
        <w:rPr>
          <w:rFonts w:hint="eastAsia" w:ascii="仿宋_GB2312" w:hAnsi="仿宋" w:eastAsia="仿宋_GB2312" w:cs="宋体"/>
          <w:color w:val="auto"/>
          <w:kern w:val="0"/>
          <w:sz w:val="32"/>
          <w:szCs w:val="32"/>
          <w:u w:val="none"/>
          <w:lang w:val="en-US" w:eastAsia="zh-CN"/>
        </w:rPr>
        <w:t>五</w:t>
      </w:r>
      <w:r>
        <w:rPr>
          <w:rFonts w:hint="eastAsia" w:ascii="仿宋_GB2312" w:hAnsi="仿宋" w:eastAsia="仿宋_GB2312" w:cs="宋体"/>
          <w:color w:val="auto"/>
          <w:kern w:val="0"/>
          <w:sz w:val="32"/>
          <w:szCs w:val="32"/>
          <w:u w:val="none"/>
        </w:rPr>
        <w:t>）重大项目实施过程中，项目单位应当邀请人大代表、政协委员、社会专家等人员参与社会监督；</w:t>
      </w:r>
    </w:p>
    <w:p w14:paraId="6A5A49A6">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color w:val="auto"/>
          <w:kern w:val="0"/>
          <w:sz w:val="32"/>
          <w:szCs w:val="32"/>
          <w:u w:val="none"/>
        </w:rPr>
        <w:t>（</w:t>
      </w:r>
      <w:r>
        <w:rPr>
          <w:rFonts w:hint="eastAsia" w:ascii="仿宋_GB2312" w:hAnsi="仿宋" w:eastAsia="仿宋_GB2312" w:cs="宋体"/>
          <w:color w:val="auto"/>
          <w:kern w:val="0"/>
          <w:sz w:val="32"/>
          <w:szCs w:val="32"/>
          <w:u w:val="none"/>
          <w:lang w:val="en-US" w:eastAsia="zh-CN"/>
        </w:rPr>
        <w:t>六</w:t>
      </w:r>
      <w:r>
        <w:rPr>
          <w:rFonts w:hint="eastAsia" w:ascii="仿宋_GB2312" w:hAnsi="仿宋" w:eastAsia="仿宋_GB2312" w:cs="宋体"/>
          <w:color w:val="auto"/>
          <w:kern w:val="0"/>
          <w:sz w:val="32"/>
          <w:szCs w:val="32"/>
          <w:u w:val="none"/>
        </w:rPr>
        <w:t>）纪委监委通过专项核查、关键环节检查、跨部门联合督查、参与听审会议等形式，对项目实施全过程监督；</w:t>
      </w:r>
    </w:p>
    <w:p w14:paraId="22D4FFF3">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color w:val="auto"/>
          <w:kern w:val="0"/>
          <w:sz w:val="32"/>
          <w:szCs w:val="32"/>
        </w:rPr>
        <w:t>（</w:t>
      </w:r>
      <w:r>
        <w:rPr>
          <w:rFonts w:hint="eastAsia" w:ascii="仿宋_GB2312" w:hAnsi="仿宋" w:eastAsia="仿宋_GB2312" w:cs="宋体"/>
          <w:color w:val="auto"/>
          <w:kern w:val="0"/>
          <w:sz w:val="32"/>
          <w:szCs w:val="32"/>
          <w:lang w:val="en-US" w:eastAsia="zh-CN"/>
        </w:rPr>
        <w:t>七</w:t>
      </w:r>
      <w:r>
        <w:rPr>
          <w:rFonts w:hint="eastAsia" w:ascii="仿宋_GB2312" w:hAnsi="仿宋" w:eastAsia="仿宋_GB2312" w:cs="宋体"/>
          <w:color w:val="auto"/>
          <w:kern w:val="0"/>
          <w:sz w:val="32"/>
          <w:szCs w:val="32"/>
        </w:rPr>
        <w:t>）审计部门根据审计计划，对重大项目开展全过程跟踪审计；</w:t>
      </w:r>
    </w:p>
    <w:p w14:paraId="7E7ED9A3">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color w:val="auto"/>
          <w:kern w:val="0"/>
          <w:sz w:val="32"/>
          <w:szCs w:val="32"/>
          <w:u w:val="none"/>
        </w:rPr>
        <w:t>（</w:t>
      </w:r>
      <w:r>
        <w:rPr>
          <w:rFonts w:hint="eastAsia" w:ascii="仿宋_GB2312" w:hAnsi="仿宋" w:eastAsia="仿宋_GB2312" w:cs="宋体"/>
          <w:color w:val="auto"/>
          <w:kern w:val="0"/>
          <w:sz w:val="32"/>
          <w:szCs w:val="32"/>
          <w:u w:val="none"/>
          <w:lang w:val="en-US" w:eastAsia="zh-CN"/>
        </w:rPr>
        <w:t>八</w:t>
      </w:r>
      <w:r>
        <w:rPr>
          <w:rFonts w:hint="eastAsia" w:ascii="仿宋_GB2312" w:hAnsi="仿宋" w:eastAsia="仿宋_GB2312" w:cs="宋体"/>
          <w:color w:val="auto"/>
          <w:kern w:val="0"/>
          <w:sz w:val="32"/>
          <w:szCs w:val="32"/>
          <w:u w:val="none"/>
        </w:rPr>
        <w:t>）对规模大、技术复杂且对本区经济发展具有较强带动效应的非经营性项目，可依据《河南省人民政府办公厅关于印发河南省省级政府投资项目代建管理办法的通知》（豫政办〔2024〕11号）规定，由区政府确定的实施单位采用集中建设方式组织实施。</w:t>
      </w:r>
    </w:p>
    <w:p w14:paraId="6154C8AA">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color w:val="auto"/>
          <w:kern w:val="0"/>
          <w:sz w:val="32"/>
          <w:szCs w:val="32"/>
          <w:u w:val="none"/>
        </w:rPr>
        <w:t>集中建设项目范围包括：经区委、区政府批准实施的重大基础设施及民生工程项目、纳入区级重大建设项目年度实施计划的项目，以及医院、学校等主体实施的总投资额5000万元以上社会事业类项目等。</w:t>
      </w:r>
    </w:p>
    <w:p w14:paraId="28C75308">
      <w:pPr>
        <w:widowControl/>
        <w:spacing w:after="156" w:afterLines="50" w:line="560" w:lineRule="exact"/>
        <w:ind w:firstLine="640"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color w:val="auto"/>
          <w:kern w:val="0"/>
          <w:sz w:val="32"/>
          <w:szCs w:val="32"/>
          <w:u w:val="none"/>
        </w:rPr>
        <w:t>集中建设项目除须落实上述措施外，其使用单位与实施单位在项目实施中承担共同的监督与管理责任。</w:t>
      </w:r>
    </w:p>
    <w:p w14:paraId="4F85DC9F">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第四十</w:t>
      </w:r>
      <w:r>
        <w:rPr>
          <w:rFonts w:hint="eastAsia" w:ascii="仿宋_GB2312" w:hAnsi="仿宋" w:eastAsia="仿宋_GB2312" w:cs="宋体"/>
          <w:b/>
          <w:bCs/>
          <w:color w:val="auto"/>
          <w:kern w:val="0"/>
          <w:sz w:val="32"/>
          <w:szCs w:val="32"/>
          <w:lang w:val="en-US" w:eastAsia="zh-CN"/>
        </w:rPr>
        <w:t>九</w:t>
      </w:r>
      <w:r>
        <w:rPr>
          <w:rFonts w:hint="eastAsia" w:ascii="仿宋_GB2312" w:hAnsi="仿宋" w:eastAsia="仿宋_GB2312" w:cs="宋体"/>
          <w:b/>
          <w:bCs/>
          <w:color w:val="auto"/>
          <w:kern w:val="0"/>
          <w:sz w:val="32"/>
          <w:szCs w:val="32"/>
        </w:rPr>
        <w:t>条</w:t>
      </w:r>
      <w:r>
        <w:rPr>
          <w:rFonts w:hint="eastAsia" w:ascii="仿宋_GB2312" w:hAnsi="仿宋" w:eastAsia="仿宋_GB2312" w:cs="宋体"/>
          <w:color w:val="auto"/>
          <w:kern w:val="0"/>
          <w:sz w:val="32"/>
          <w:szCs w:val="32"/>
        </w:rPr>
        <w:t xml:space="preserve"> 严肃违规违纪问题责任追究：</w:t>
      </w:r>
    </w:p>
    <w:p w14:paraId="536EFD10">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一）因非项目单位原因造成工程延误或停工的，应追究责任方的违约责任。对存在未评审先招标、未审批先施工、资金使用不规范、管理不到位等情形的，应按照“有责必问”原则对相关责任人问责后，由责任单位指导并督促项目单位制定整改方案，推动问题限期整改；情节严重的，责任单位应将问题线索移交纪检监察和行业监管部门，依法依规追究责任</w:t>
      </w:r>
      <w:r>
        <w:rPr>
          <w:rFonts w:hint="eastAsia" w:ascii="仿宋_GB2312" w:hAnsi="仿宋" w:eastAsia="仿宋_GB2312" w:cs="宋体"/>
          <w:color w:val="auto"/>
          <w:kern w:val="0"/>
          <w:sz w:val="32"/>
          <w:szCs w:val="32"/>
          <w:lang w:eastAsia="zh-CN"/>
        </w:rPr>
        <w:t>；</w:t>
      </w:r>
    </w:p>
    <w:p w14:paraId="0F57AEC7">
      <w:pPr>
        <w:widowControl/>
        <w:spacing w:after="156" w:afterLines="50" w:line="560" w:lineRule="exact"/>
        <w:ind w:firstLine="640" w:firstLineChars="200"/>
        <w:jc w:val="left"/>
        <w:rPr>
          <w:rFonts w:hint="eastAsia" w:ascii="仿宋_GB2312" w:hAnsi="仿宋" w:eastAsia="仿宋_GB2312" w:cs="宋体"/>
          <w:color w:val="auto"/>
          <w:kern w:val="0"/>
          <w:sz w:val="32"/>
          <w:szCs w:val="32"/>
          <w:lang w:eastAsia="zh-CN"/>
        </w:rPr>
      </w:pPr>
      <w:r>
        <w:rPr>
          <w:rFonts w:hint="eastAsia" w:ascii="仿宋_GB2312" w:hAnsi="仿宋" w:eastAsia="仿宋_GB2312" w:cs="宋体"/>
          <w:color w:val="auto"/>
          <w:kern w:val="0"/>
          <w:sz w:val="32"/>
          <w:szCs w:val="32"/>
        </w:rPr>
        <w:t>（二）在监督检查中发现挪用项目建设资金、干预招投标活动、围标串标、违法转包分包、违规变更、违规签订施工合同等问题的，各责任单位须第一时间向行业监管部门报告；对经查证属于重大问题的，应立即将问题线索移交纪检监察部门，由纪检监察部门启动问责机制，依规依纪严肃追究相关单位和责任人责任；涉嫌犯罪的，应依法移交司法机关，追究相关主体刑事责任</w:t>
      </w:r>
      <w:r>
        <w:rPr>
          <w:rFonts w:hint="eastAsia" w:ascii="仿宋_GB2312" w:hAnsi="仿宋" w:eastAsia="仿宋_GB2312" w:cs="宋体"/>
          <w:color w:val="auto"/>
          <w:kern w:val="0"/>
          <w:sz w:val="32"/>
          <w:szCs w:val="32"/>
          <w:lang w:eastAsia="zh-CN"/>
        </w:rPr>
        <w:t>；</w:t>
      </w:r>
    </w:p>
    <w:p w14:paraId="620E0F2F">
      <w:pPr>
        <w:widowControl/>
        <w:spacing w:after="156" w:afterLines="50" w:line="560" w:lineRule="exact"/>
        <w:ind w:firstLine="640" w:firstLineChars="200"/>
        <w:jc w:val="left"/>
        <w:rPr>
          <w:rFonts w:hint="default" w:ascii="仿宋_GB2312" w:hAnsi="仿宋" w:eastAsia="仿宋_GB2312" w:cs="宋体"/>
          <w:color w:val="auto"/>
          <w:kern w:val="0"/>
          <w:sz w:val="32"/>
          <w:szCs w:val="32"/>
          <w:lang w:val="en-US" w:eastAsia="zh-CN"/>
        </w:rPr>
      </w:pPr>
      <w:r>
        <w:rPr>
          <w:rFonts w:hint="eastAsia" w:ascii="仿宋_GB2312" w:hAnsi="仿宋" w:eastAsia="仿宋_GB2312" w:cs="宋体"/>
          <w:color w:val="auto"/>
          <w:kern w:val="0"/>
          <w:sz w:val="32"/>
          <w:szCs w:val="32"/>
        </w:rPr>
        <w:t>（三）在项目实施过程中，针对捏造事实恶意投诉、人为拖延工期、扰乱项目建设正常秩序等行为，项目单位应会同行业主管、公安等部门依法依规追究责任。</w:t>
      </w:r>
    </w:p>
    <w:p w14:paraId="5EE630E1">
      <w:pPr>
        <w:widowControl/>
        <w:shd w:val="clear" w:color="auto" w:fill="FFFFFF"/>
        <w:spacing w:after="156" w:afterLines="50" w:line="560" w:lineRule="exact"/>
        <w:jc w:val="center"/>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第十章</w:t>
      </w:r>
      <w:r>
        <w:rPr>
          <w:rFonts w:hint="eastAsia" w:ascii="黑体" w:hAnsi="黑体" w:eastAsia="黑体" w:cs="宋体"/>
          <w:color w:val="auto"/>
          <w:kern w:val="0"/>
          <w:sz w:val="32"/>
          <w:szCs w:val="32"/>
        </w:rPr>
        <w:tab/>
      </w:r>
      <w:r>
        <w:rPr>
          <w:rFonts w:hint="eastAsia" w:ascii="黑体" w:hAnsi="黑体" w:eastAsia="黑体" w:cs="宋体"/>
          <w:color w:val="auto"/>
          <w:kern w:val="0"/>
          <w:sz w:val="32"/>
          <w:szCs w:val="32"/>
        </w:rPr>
        <w:t>附则</w:t>
      </w:r>
    </w:p>
    <w:p w14:paraId="11085270">
      <w:pPr>
        <w:widowControl/>
        <w:spacing w:after="156" w:afterLines="50" w:line="560" w:lineRule="exact"/>
        <w:ind w:firstLine="643" w:firstLineChars="200"/>
        <w:jc w:val="left"/>
        <w:rPr>
          <w:rFonts w:hint="eastAsia" w:ascii="仿宋_GB2312" w:hAnsi="仿宋" w:eastAsia="仿宋_GB2312" w:cs="宋体"/>
          <w:color w:val="auto"/>
          <w:kern w:val="0"/>
          <w:sz w:val="32"/>
          <w:szCs w:val="32"/>
        </w:rPr>
      </w:pPr>
      <w:r>
        <w:rPr>
          <w:rFonts w:hint="eastAsia" w:ascii="仿宋_GB2312" w:hAnsi="仿宋" w:eastAsia="仿宋_GB2312" w:cs="宋体"/>
          <w:b/>
          <w:bCs/>
          <w:color w:val="auto"/>
          <w:kern w:val="0"/>
          <w:sz w:val="32"/>
          <w:szCs w:val="32"/>
        </w:rPr>
        <w:t>第</w:t>
      </w:r>
      <w:r>
        <w:rPr>
          <w:rFonts w:hint="eastAsia" w:ascii="仿宋_GB2312" w:hAnsi="仿宋" w:eastAsia="仿宋_GB2312" w:cs="宋体"/>
          <w:b/>
          <w:bCs/>
          <w:color w:val="auto"/>
          <w:kern w:val="0"/>
          <w:sz w:val="32"/>
          <w:szCs w:val="32"/>
          <w:lang w:val="en-US" w:eastAsia="zh-CN"/>
        </w:rPr>
        <w:t>五十</w:t>
      </w:r>
      <w:r>
        <w:rPr>
          <w:rFonts w:hint="eastAsia" w:ascii="仿宋_GB2312" w:hAnsi="仿宋" w:eastAsia="仿宋_GB2312" w:cs="宋体"/>
          <w:b/>
          <w:bCs/>
          <w:color w:val="auto"/>
          <w:kern w:val="0"/>
          <w:sz w:val="32"/>
          <w:szCs w:val="32"/>
        </w:rPr>
        <w:t>条</w:t>
      </w:r>
      <w:r>
        <w:rPr>
          <w:rFonts w:hint="eastAsia" w:ascii="仿宋_GB2312" w:hAnsi="仿宋" w:eastAsia="仿宋_GB2312" w:cs="宋体"/>
          <w:color w:val="auto"/>
          <w:kern w:val="0"/>
          <w:sz w:val="32"/>
          <w:szCs w:val="32"/>
        </w:rPr>
        <w:t xml:space="preserve"> 本办法未尽事宜，各部门可依据本办法制定具体办法或实施细则。若国家、省级规范性文件，以及交通、公路、农林水等上级行业主管部门发布的规范性文件另有规定的，从其规定；我区已出台但与本办法不符的项目管理规定，以本办法为准。</w:t>
      </w:r>
    </w:p>
    <w:p w14:paraId="70556709">
      <w:pPr>
        <w:widowControl/>
        <w:spacing w:after="156" w:afterLines="50" w:line="560" w:lineRule="exact"/>
        <w:ind w:firstLine="643" w:firstLineChars="200"/>
        <w:jc w:val="left"/>
        <w:rPr>
          <w:rFonts w:hint="eastAsia" w:ascii="仿宋_GB2312" w:hAnsi="仿宋" w:eastAsia="仿宋_GB2312" w:cs="宋体"/>
          <w:color w:val="auto"/>
          <w:kern w:val="0"/>
          <w:sz w:val="32"/>
          <w:szCs w:val="32"/>
          <w:u w:val="none"/>
        </w:rPr>
      </w:pPr>
      <w:r>
        <w:rPr>
          <w:rFonts w:hint="eastAsia" w:ascii="仿宋_GB2312" w:hAnsi="仿宋" w:eastAsia="仿宋_GB2312" w:cs="宋体"/>
          <w:b/>
          <w:bCs/>
          <w:color w:val="auto"/>
          <w:kern w:val="0"/>
          <w:sz w:val="32"/>
          <w:szCs w:val="32"/>
        </w:rPr>
        <w:t>第五十</w:t>
      </w:r>
      <w:r>
        <w:rPr>
          <w:rFonts w:hint="eastAsia" w:ascii="仿宋_GB2312" w:hAnsi="仿宋" w:eastAsia="仿宋_GB2312" w:cs="宋体"/>
          <w:b/>
          <w:bCs/>
          <w:color w:val="auto"/>
          <w:kern w:val="0"/>
          <w:sz w:val="32"/>
          <w:szCs w:val="32"/>
          <w:lang w:val="en-US" w:eastAsia="zh-CN"/>
        </w:rPr>
        <w:t>一</w:t>
      </w:r>
      <w:r>
        <w:rPr>
          <w:rFonts w:hint="eastAsia" w:ascii="仿宋_GB2312" w:hAnsi="仿宋" w:eastAsia="仿宋_GB2312" w:cs="宋体"/>
          <w:b/>
          <w:bCs/>
          <w:color w:val="auto"/>
          <w:kern w:val="0"/>
          <w:sz w:val="32"/>
          <w:szCs w:val="32"/>
        </w:rPr>
        <w:t>条</w:t>
      </w:r>
      <w:r>
        <w:rPr>
          <w:rFonts w:hint="eastAsia" w:ascii="仿宋_GB2312" w:hAnsi="仿宋" w:eastAsia="仿宋_GB2312" w:cs="宋体"/>
          <w:color w:val="auto"/>
          <w:kern w:val="0"/>
          <w:sz w:val="32"/>
          <w:szCs w:val="32"/>
        </w:rPr>
        <w:t xml:space="preserve"> 本办法自印发之日起</w:t>
      </w:r>
      <w:r>
        <w:rPr>
          <w:rFonts w:hint="eastAsia" w:ascii="仿宋_GB2312" w:hAnsi="仿宋" w:eastAsia="仿宋_GB2312" w:cs="宋体"/>
          <w:color w:val="auto"/>
          <w:kern w:val="0"/>
          <w:sz w:val="32"/>
          <w:szCs w:val="32"/>
          <w:lang w:val="en-US" w:eastAsia="zh-CN"/>
        </w:rPr>
        <w:t>试</w:t>
      </w:r>
      <w:r>
        <w:rPr>
          <w:rFonts w:hint="eastAsia" w:ascii="仿宋_GB2312" w:hAnsi="仿宋" w:eastAsia="仿宋_GB2312" w:cs="宋体"/>
          <w:color w:val="auto"/>
          <w:kern w:val="0"/>
          <w:sz w:val="32"/>
          <w:szCs w:val="32"/>
        </w:rPr>
        <w:t>行。原</w:t>
      </w:r>
      <w:r>
        <w:rPr>
          <w:rFonts w:hint="eastAsia" w:ascii="仿宋_GB2312" w:hAnsi="仿宋" w:eastAsia="仿宋_GB2312" w:cs="宋体"/>
          <w:color w:val="auto"/>
          <w:kern w:val="0"/>
          <w:sz w:val="32"/>
          <w:szCs w:val="32"/>
          <w:lang w:val="en-US" w:eastAsia="zh-CN"/>
        </w:rPr>
        <w:t>建安区关于政府投资项目相关规定</w:t>
      </w:r>
      <w:r>
        <w:rPr>
          <w:rFonts w:hint="eastAsia" w:ascii="仿宋_GB2312" w:hAnsi="仿宋" w:eastAsia="仿宋_GB2312" w:cs="宋体"/>
          <w:color w:val="auto"/>
          <w:kern w:val="0"/>
          <w:sz w:val="32"/>
          <w:szCs w:val="32"/>
          <w:u w:val="none"/>
        </w:rPr>
        <w:t>同时废止。</w:t>
      </w:r>
    </w:p>
    <w:p w14:paraId="000D0995">
      <w:pPr>
        <w:widowControl/>
        <w:spacing w:after="156" w:afterLines="50" w:line="560" w:lineRule="exact"/>
        <w:ind w:firstLine="640" w:firstLineChars="200"/>
        <w:jc w:val="left"/>
        <w:rPr>
          <w:rFonts w:hint="eastAsia" w:ascii="仿宋_GB2312" w:hAnsi="仿宋" w:eastAsia="仿宋_GB2312" w:cs="宋体"/>
          <w:color w:val="auto"/>
          <w:kern w:val="0"/>
          <w:sz w:val="32"/>
          <w:szCs w:val="32"/>
        </w:rPr>
      </w:pPr>
    </w:p>
    <w:sectPr>
      <w:headerReference r:id="rId4" w:type="default"/>
      <w:footerReference r:id="rId5"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FD5FE6B-8821-4E99-AA0E-214B88B39F3C}"/>
  </w:font>
  <w:font w:name="Arial">
    <w:panose1 w:val="020B0604020202020204"/>
    <w:charset w:val="01"/>
    <w:family w:val="swiss"/>
    <w:pitch w:val="default"/>
    <w:sig w:usb0="E0002EFF" w:usb1="C000785B" w:usb2="00000009" w:usb3="00000000" w:csb0="400001FF" w:csb1="FFFF0000"/>
    <w:embedRegular r:id="rId2" w:fontKey="{EF588393-4534-4339-987D-5518C22B7D4B}"/>
  </w:font>
  <w:font w:name="黑体">
    <w:panose1 w:val="02010609060101010101"/>
    <w:charset w:val="86"/>
    <w:family w:val="auto"/>
    <w:pitch w:val="default"/>
    <w:sig w:usb0="800002BF" w:usb1="38CF7CFA" w:usb2="00000016" w:usb3="00000000" w:csb0="00040001" w:csb1="00000000"/>
    <w:embedRegular r:id="rId3" w:fontKey="{13A6A158-C34F-4E77-9438-CC5C24B3D906}"/>
  </w:font>
  <w:font w:name="Courier New">
    <w:panose1 w:val="02070309020205020404"/>
    <w:charset w:val="01"/>
    <w:family w:val="modern"/>
    <w:pitch w:val="default"/>
    <w:sig w:usb0="E0002EFF" w:usb1="C0007843" w:usb2="00000009" w:usb3="00000000" w:csb0="400001FF" w:csb1="FFFF0000"/>
    <w:embedRegular r:id="rId4" w:fontKey="{056CE1F6-8047-4DCC-8D41-F559412A4149}"/>
  </w:font>
  <w:font w:name="Symbol">
    <w:panose1 w:val="05050102010706020507"/>
    <w:charset w:val="02"/>
    <w:family w:val="roman"/>
    <w:pitch w:val="default"/>
    <w:sig w:usb0="00000000" w:usb1="00000000" w:usb2="00000000" w:usb3="00000000" w:csb0="80000000" w:csb1="00000000"/>
    <w:embedRegular r:id="rId5" w:fontKey="{D19D84ED-1314-4A9E-8668-5BFDD1AF9416}"/>
  </w:font>
  <w:font w:name="Calibri">
    <w:panose1 w:val="020F0502020204030204"/>
    <w:charset w:val="00"/>
    <w:family w:val="swiss"/>
    <w:pitch w:val="default"/>
    <w:sig w:usb0="E4002EFF" w:usb1="C200247B" w:usb2="00000009" w:usb3="00000000" w:csb0="200001FF" w:csb1="00000000"/>
    <w:embedRegular r:id="rId6" w:fontKey="{B4E2FD4C-3780-421F-A277-8307EE561590}"/>
  </w:font>
  <w:font w:name="方正小标宋简体">
    <w:panose1 w:val="02000000000000000000"/>
    <w:charset w:val="86"/>
    <w:family w:val="auto"/>
    <w:pitch w:val="default"/>
    <w:sig w:usb0="00000001" w:usb1="08000000" w:usb2="00000000" w:usb3="00000000" w:csb0="00040000" w:csb1="00000000"/>
    <w:embedRegular r:id="rId7" w:fontKey="{9FC777AF-162B-4606-AFCC-C0D0175B61E5}"/>
  </w:font>
  <w:font w:name="仿宋_GB2312">
    <w:altName w:val="仿宋"/>
    <w:panose1 w:val="02010609030001010101"/>
    <w:charset w:val="86"/>
    <w:family w:val="auto"/>
    <w:pitch w:val="default"/>
    <w:sig w:usb0="00000000" w:usb1="00000000" w:usb2="00000000" w:usb3="00000000" w:csb0="00040000" w:csb1="00000000"/>
    <w:embedRegular r:id="rId8" w:fontKey="{8A05DABE-1F66-4A26-90AC-12EDAE214DBC}"/>
  </w:font>
  <w:font w:name="仿宋">
    <w:panose1 w:val="02010609060101010101"/>
    <w:charset w:val="7A"/>
    <w:family w:val="modern"/>
    <w:pitch w:val="default"/>
    <w:sig w:usb0="800002BF" w:usb1="38CF7CFA" w:usb2="00000016" w:usb3="00000000" w:csb0="00040001" w:csb1="00000000"/>
    <w:embedRegular r:id="rId9" w:fontKey="{7F85CBB6-23C2-4301-97C0-E4DADC4053FB}"/>
  </w:font>
  <w:font w:name="方正仿宋_GB2312">
    <w:panose1 w:val="02000000000000000000"/>
    <w:charset w:val="7A"/>
    <w:family w:val="auto"/>
    <w:pitch w:val="default"/>
    <w:sig w:usb0="A00002BF" w:usb1="184F6CFA" w:usb2="00000012" w:usb3="00000000" w:csb0="00040001" w:csb1="00000000"/>
    <w:embedRegular r:id="rId10" w:fontKey="{F828C973-BE83-4F55-A123-7226680B6099}"/>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190AB">
    <w:pPr>
      <w:pStyle w:val="6"/>
      <w:tabs>
        <w:tab w:val="center" w:pos="4153"/>
        <w:tab w:val="right" w:pos="8306"/>
      </w:tabs>
    </w:pPr>
  </w:p>
  <w:p w14:paraId="75443479">
    <w:pPr>
      <w:pStyle w:val="6"/>
      <w:tabs>
        <w:tab w:val="center" w:pos="4153"/>
        <w:tab w:val="right"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9621C8D">
                          <w:pPr>
                            <w:pStyle w:val="6"/>
                            <w:tabs>
                              <w:tab w:val="center" w:pos="4153"/>
                              <w:tab w:val="right" w:pos="8306"/>
                            </w:tabs>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aD3B88BAACqAwAADgAAAGRycy9lMm9Eb2MueG1srVPNjtMwEL4j8Q6W&#10;7zRpJ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YY2gTMnLD345fu3y49fl59f2bJc&#10;vU4K9QErKnwIVBqHOz+k6imOFEzEhxZs+hIlRnnS93zVVw2RyXRpvVqvS0pJys0O4RSP1wNgfKu8&#10;ZcmoOdADZl3F6T3GsXQuSd2cv9fGUFxUxv0VIMwxovIWTLcTk3HiZMVhP0w09r45E7ueNqHmjhaf&#10;M/POkdBpaWYDZmM/G8cA+tDRoMs8JYbbY6SR8qSpwwhLDJNDT5i5TuuWduRPP1c9/mL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ZoPcHzwEAAKoDAAAOAAAAAAAAAAEAIAAAAB4BAABkcnMv&#10;ZTJvRG9jLnhtbFBLBQYAAAAABgAGAFkBAABfBQAAAAA=&#10;">
              <v:fill on="f" focussize="0,0"/>
              <v:stroke on="f"/>
              <v:imagedata o:title=""/>
              <o:lock v:ext="edit" aspectratio="f"/>
              <v:textbox inset="0mm,0mm,0mm,0mm" style="mso-fit-shape-to-text:t;">
                <w:txbxContent>
                  <w:p w14:paraId="19621C8D">
                    <w:pPr>
                      <w:pStyle w:val="6"/>
                      <w:tabs>
                        <w:tab w:val="center" w:pos="4153"/>
                        <w:tab w:val="right" w:pos="8306"/>
                      </w:tabs>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A2512">
    <w:pPr>
      <w:pStyle w:val="7"/>
      <w:pBdr>
        <w:bottom w:val="none" w:color="auto" w:sz="0" w:space="0"/>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chineseCounting"/>
      <w:suff w:val="nothing"/>
      <w:lvlText w:val="（%1）"/>
      <w:lvlJc w:val="left"/>
      <w:rPr>
        <w:rFonts w:hint="eastAsia"/>
      </w:rPr>
    </w:lvl>
  </w:abstractNum>
  <w:abstractNum w:abstractNumId="1">
    <w:nsid w:val="00000002"/>
    <w:multiLevelType w:val="singleLevel"/>
    <w:tmpl w:val="00000002"/>
    <w:lvl w:ilvl="0" w:tentative="0">
      <w:start w:val="1"/>
      <w:numFmt w:val="decimal"/>
      <w:suff w:val="nothing"/>
      <w:lvlText w:val="%1．"/>
      <w:lvlJc w:val="left"/>
      <w:pPr>
        <w:ind w:left="0" w:firstLine="400"/>
      </w:pPr>
      <w:rPr>
        <w:rFonts w:hint="default"/>
      </w:rPr>
    </w:lvl>
  </w:abstractNum>
  <w:abstractNum w:abstractNumId="2">
    <w:nsid w:val="00000003"/>
    <w:multiLevelType w:val="singleLevel"/>
    <w:tmpl w:val="00000003"/>
    <w:lvl w:ilvl="0" w:tentative="0">
      <w:start w:val="1"/>
      <w:numFmt w:val="chineseCounting"/>
      <w:suff w:val="nothing"/>
      <w:lvlText w:val="（%1）"/>
      <w:lvlJc w:val="left"/>
      <w:rPr>
        <w:rFonts w:hint="eastAsia"/>
      </w:rPr>
    </w:lvl>
  </w:abstractNum>
  <w:abstractNum w:abstractNumId="3">
    <w:nsid w:val="00000004"/>
    <w:multiLevelType w:val="singleLevel"/>
    <w:tmpl w:val="00000004"/>
    <w:lvl w:ilvl="0" w:tentative="0">
      <w:start w:val="1"/>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01DC"/>
    <w:rsid w:val="000730CA"/>
    <w:rsid w:val="0007471C"/>
    <w:rsid w:val="00091A16"/>
    <w:rsid w:val="000979B5"/>
    <w:rsid w:val="000A140E"/>
    <w:rsid w:val="000D0FFC"/>
    <w:rsid w:val="00124E2B"/>
    <w:rsid w:val="00157902"/>
    <w:rsid w:val="001E2DAB"/>
    <w:rsid w:val="002873A2"/>
    <w:rsid w:val="00287F5A"/>
    <w:rsid w:val="00333705"/>
    <w:rsid w:val="00380C2B"/>
    <w:rsid w:val="003C10E3"/>
    <w:rsid w:val="004046A9"/>
    <w:rsid w:val="004A1FDD"/>
    <w:rsid w:val="004F418C"/>
    <w:rsid w:val="0050162A"/>
    <w:rsid w:val="007176A7"/>
    <w:rsid w:val="007233F5"/>
    <w:rsid w:val="0076196B"/>
    <w:rsid w:val="007A7EEF"/>
    <w:rsid w:val="007B0BD1"/>
    <w:rsid w:val="007B3BFB"/>
    <w:rsid w:val="007E20E4"/>
    <w:rsid w:val="007F720B"/>
    <w:rsid w:val="00831EF8"/>
    <w:rsid w:val="00837C0A"/>
    <w:rsid w:val="008C7E6A"/>
    <w:rsid w:val="009358E6"/>
    <w:rsid w:val="009610DE"/>
    <w:rsid w:val="009B5707"/>
    <w:rsid w:val="009C337D"/>
    <w:rsid w:val="009C6E30"/>
    <w:rsid w:val="009E71A7"/>
    <w:rsid w:val="00A21714"/>
    <w:rsid w:val="00A81566"/>
    <w:rsid w:val="00A845A1"/>
    <w:rsid w:val="00AE7004"/>
    <w:rsid w:val="00B53750"/>
    <w:rsid w:val="00BE2A05"/>
    <w:rsid w:val="00C55A81"/>
    <w:rsid w:val="00C82A93"/>
    <w:rsid w:val="00CA73F7"/>
    <w:rsid w:val="00CC1378"/>
    <w:rsid w:val="00D064B4"/>
    <w:rsid w:val="00D155BC"/>
    <w:rsid w:val="00D17E0D"/>
    <w:rsid w:val="00D53807"/>
    <w:rsid w:val="00D612B3"/>
    <w:rsid w:val="00D63836"/>
    <w:rsid w:val="00D91853"/>
    <w:rsid w:val="00DC30D1"/>
    <w:rsid w:val="00DC3387"/>
    <w:rsid w:val="00E017E4"/>
    <w:rsid w:val="00E251F5"/>
    <w:rsid w:val="00EC77D9"/>
    <w:rsid w:val="00EF463B"/>
    <w:rsid w:val="00F44B07"/>
    <w:rsid w:val="01021237"/>
    <w:rsid w:val="015C48BA"/>
    <w:rsid w:val="01E72E69"/>
    <w:rsid w:val="023D1C29"/>
    <w:rsid w:val="02DE5ECF"/>
    <w:rsid w:val="02E42DB9"/>
    <w:rsid w:val="038D2B62"/>
    <w:rsid w:val="03A83142"/>
    <w:rsid w:val="04480881"/>
    <w:rsid w:val="04D70A40"/>
    <w:rsid w:val="063302DF"/>
    <w:rsid w:val="073B10E6"/>
    <w:rsid w:val="078F0773"/>
    <w:rsid w:val="07A42C97"/>
    <w:rsid w:val="07BE444A"/>
    <w:rsid w:val="0A1F0C00"/>
    <w:rsid w:val="0A201E6F"/>
    <w:rsid w:val="0A6C4908"/>
    <w:rsid w:val="0B1B1342"/>
    <w:rsid w:val="0B1E6623"/>
    <w:rsid w:val="0BC56019"/>
    <w:rsid w:val="0BD95198"/>
    <w:rsid w:val="0C770F81"/>
    <w:rsid w:val="0D71793F"/>
    <w:rsid w:val="0D7B622E"/>
    <w:rsid w:val="0E472E59"/>
    <w:rsid w:val="0F6B6D3C"/>
    <w:rsid w:val="0FC87CEA"/>
    <w:rsid w:val="100D62F1"/>
    <w:rsid w:val="10D5497B"/>
    <w:rsid w:val="110B7E38"/>
    <w:rsid w:val="12160F3D"/>
    <w:rsid w:val="13403EA3"/>
    <w:rsid w:val="134E0103"/>
    <w:rsid w:val="13B42E9F"/>
    <w:rsid w:val="13EE5846"/>
    <w:rsid w:val="13EE74BE"/>
    <w:rsid w:val="155F32D4"/>
    <w:rsid w:val="15C10910"/>
    <w:rsid w:val="15E038B4"/>
    <w:rsid w:val="164107F7"/>
    <w:rsid w:val="168D57EA"/>
    <w:rsid w:val="16FA09A5"/>
    <w:rsid w:val="17417263"/>
    <w:rsid w:val="194E5BB7"/>
    <w:rsid w:val="1A1D3749"/>
    <w:rsid w:val="1ACB276D"/>
    <w:rsid w:val="1AF916A0"/>
    <w:rsid w:val="1B656EF2"/>
    <w:rsid w:val="1BA70DEF"/>
    <w:rsid w:val="1C5266A8"/>
    <w:rsid w:val="1CDB3C60"/>
    <w:rsid w:val="1D8D60CF"/>
    <w:rsid w:val="1F2A2CF7"/>
    <w:rsid w:val="20322F5E"/>
    <w:rsid w:val="21F71AC8"/>
    <w:rsid w:val="22553567"/>
    <w:rsid w:val="22B91715"/>
    <w:rsid w:val="230E7CB2"/>
    <w:rsid w:val="235D6565"/>
    <w:rsid w:val="23B56380"/>
    <w:rsid w:val="23CC3C8A"/>
    <w:rsid w:val="23F61699"/>
    <w:rsid w:val="24B9237A"/>
    <w:rsid w:val="25585215"/>
    <w:rsid w:val="255D3FB6"/>
    <w:rsid w:val="261B678D"/>
    <w:rsid w:val="26BE7476"/>
    <w:rsid w:val="26CF59AB"/>
    <w:rsid w:val="26F61189"/>
    <w:rsid w:val="276928A0"/>
    <w:rsid w:val="27A94479"/>
    <w:rsid w:val="28981C3A"/>
    <w:rsid w:val="295A26F1"/>
    <w:rsid w:val="29774F09"/>
    <w:rsid w:val="298C7B83"/>
    <w:rsid w:val="2B367DA6"/>
    <w:rsid w:val="2D104627"/>
    <w:rsid w:val="2DDD1E91"/>
    <w:rsid w:val="2E9C643F"/>
    <w:rsid w:val="2FC55B9D"/>
    <w:rsid w:val="31000A61"/>
    <w:rsid w:val="31554CFE"/>
    <w:rsid w:val="31AB088A"/>
    <w:rsid w:val="322040CC"/>
    <w:rsid w:val="323D6B00"/>
    <w:rsid w:val="3257365F"/>
    <w:rsid w:val="33A154C2"/>
    <w:rsid w:val="342A2472"/>
    <w:rsid w:val="347D1721"/>
    <w:rsid w:val="34AC2A1E"/>
    <w:rsid w:val="36364A75"/>
    <w:rsid w:val="365B2DB7"/>
    <w:rsid w:val="370360E0"/>
    <w:rsid w:val="379A6405"/>
    <w:rsid w:val="37D44BCF"/>
    <w:rsid w:val="385664E5"/>
    <w:rsid w:val="38584869"/>
    <w:rsid w:val="38E277E7"/>
    <w:rsid w:val="392A68EA"/>
    <w:rsid w:val="3A712BA9"/>
    <w:rsid w:val="3A771C78"/>
    <w:rsid w:val="3B3C7592"/>
    <w:rsid w:val="3BD50F16"/>
    <w:rsid w:val="3C083D53"/>
    <w:rsid w:val="3C491C93"/>
    <w:rsid w:val="3D0F56F2"/>
    <w:rsid w:val="3D5D7415"/>
    <w:rsid w:val="3D866070"/>
    <w:rsid w:val="3DAE155E"/>
    <w:rsid w:val="3E927592"/>
    <w:rsid w:val="3EC35E2F"/>
    <w:rsid w:val="3ECC6222"/>
    <w:rsid w:val="3F3103EB"/>
    <w:rsid w:val="3F8917FA"/>
    <w:rsid w:val="3FA23581"/>
    <w:rsid w:val="3FC02BDF"/>
    <w:rsid w:val="40046759"/>
    <w:rsid w:val="400B3158"/>
    <w:rsid w:val="405649DF"/>
    <w:rsid w:val="40B6361F"/>
    <w:rsid w:val="40EA5463"/>
    <w:rsid w:val="412B5EF9"/>
    <w:rsid w:val="41DD6E94"/>
    <w:rsid w:val="424C0C4B"/>
    <w:rsid w:val="43350D89"/>
    <w:rsid w:val="43607C5E"/>
    <w:rsid w:val="44987840"/>
    <w:rsid w:val="44D834EC"/>
    <w:rsid w:val="45A37DE2"/>
    <w:rsid w:val="462A6302"/>
    <w:rsid w:val="46496249"/>
    <w:rsid w:val="469B35D6"/>
    <w:rsid w:val="46CE78C0"/>
    <w:rsid w:val="4706073E"/>
    <w:rsid w:val="47356D0C"/>
    <w:rsid w:val="473C62ED"/>
    <w:rsid w:val="47672E90"/>
    <w:rsid w:val="48AB3298"/>
    <w:rsid w:val="499C3073"/>
    <w:rsid w:val="49FB2AE7"/>
    <w:rsid w:val="4B700C5B"/>
    <w:rsid w:val="4B9C21DB"/>
    <w:rsid w:val="4CD2235A"/>
    <w:rsid w:val="4FB00FB4"/>
    <w:rsid w:val="4FB235F0"/>
    <w:rsid w:val="507E74BE"/>
    <w:rsid w:val="51EC090F"/>
    <w:rsid w:val="51F25B1C"/>
    <w:rsid w:val="526A01B2"/>
    <w:rsid w:val="530545B8"/>
    <w:rsid w:val="54036AE1"/>
    <w:rsid w:val="54433155"/>
    <w:rsid w:val="54560AEA"/>
    <w:rsid w:val="55A12DF7"/>
    <w:rsid w:val="56F426B7"/>
    <w:rsid w:val="56FF14EE"/>
    <w:rsid w:val="57F91F71"/>
    <w:rsid w:val="582B03E3"/>
    <w:rsid w:val="59815DE1"/>
    <w:rsid w:val="5C38292D"/>
    <w:rsid w:val="5CC81F95"/>
    <w:rsid w:val="5D2D2508"/>
    <w:rsid w:val="5EAA0DD3"/>
    <w:rsid w:val="5F4A6064"/>
    <w:rsid w:val="5FC411E2"/>
    <w:rsid w:val="5FDC71DA"/>
    <w:rsid w:val="600D0A66"/>
    <w:rsid w:val="609C08BC"/>
    <w:rsid w:val="60CE79C9"/>
    <w:rsid w:val="610C0686"/>
    <w:rsid w:val="61202421"/>
    <w:rsid w:val="615350A7"/>
    <w:rsid w:val="61CF1286"/>
    <w:rsid w:val="624D7F5A"/>
    <w:rsid w:val="6287449F"/>
    <w:rsid w:val="63495BC1"/>
    <w:rsid w:val="637B60E4"/>
    <w:rsid w:val="63893C1C"/>
    <w:rsid w:val="646B8661"/>
    <w:rsid w:val="6472739A"/>
    <w:rsid w:val="64976216"/>
    <w:rsid w:val="64AE5E3B"/>
    <w:rsid w:val="658E34A7"/>
    <w:rsid w:val="6622548F"/>
    <w:rsid w:val="666064B8"/>
    <w:rsid w:val="66E45EF7"/>
    <w:rsid w:val="68D67EF7"/>
    <w:rsid w:val="6922138F"/>
    <w:rsid w:val="693445BB"/>
    <w:rsid w:val="69EE74C3"/>
    <w:rsid w:val="6A1F142A"/>
    <w:rsid w:val="6A814CB8"/>
    <w:rsid w:val="6BEB21DB"/>
    <w:rsid w:val="6C1C260E"/>
    <w:rsid w:val="6C9A7BBB"/>
    <w:rsid w:val="6CB73B9C"/>
    <w:rsid w:val="6CBA5939"/>
    <w:rsid w:val="6CF925E4"/>
    <w:rsid w:val="6D800432"/>
    <w:rsid w:val="6D97577B"/>
    <w:rsid w:val="6E4969E0"/>
    <w:rsid w:val="6EEB4B04"/>
    <w:rsid w:val="6FFC14C6"/>
    <w:rsid w:val="714E0955"/>
    <w:rsid w:val="71804EA4"/>
    <w:rsid w:val="719E26DF"/>
    <w:rsid w:val="720F27CE"/>
    <w:rsid w:val="729660C5"/>
    <w:rsid w:val="72C20D55"/>
    <w:rsid w:val="73180691"/>
    <w:rsid w:val="74AA048A"/>
    <w:rsid w:val="75596138"/>
    <w:rsid w:val="75DA14E0"/>
    <w:rsid w:val="76307BA1"/>
    <w:rsid w:val="76D85EA5"/>
    <w:rsid w:val="7763176C"/>
    <w:rsid w:val="779E4D4F"/>
    <w:rsid w:val="779E6B17"/>
    <w:rsid w:val="78434E7D"/>
    <w:rsid w:val="79283BD2"/>
    <w:rsid w:val="7A730B94"/>
    <w:rsid w:val="7AEF6DC1"/>
    <w:rsid w:val="7B6E3FBF"/>
    <w:rsid w:val="7B780783"/>
    <w:rsid w:val="7B8B2DC3"/>
    <w:rsid w:val="7BE43295"/>
    <w:rsid w:val="7D8775BA"/>
    <w:rsid w:val="7DCD2671"/>
    <w:rsid w:val="7DDA2E95"/>
    <w:rsid w:val="7E2F667A"/>
    <w:rsid w:val="7E7F4735"/>
    <w:rsid w:val="7F8E6D3D"/>
    <w:rsid w:val="7FD912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
    <w:name w:val="heading 3"/>
    <w:basedOn w:val="1"/>
    <w:uiPriority w:val="0"/>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0">
    <w:name w:val="Default Paragraph Font"/>
    <w:uiPriority w:val="0"/>
    <w:rPr>
      <w:rFonts w:ascii="Times New Roman" w:hAnsi="Times New Roman" w:eastAsia="宋体" w:cs="Times New Roman"/>
    </w:rPr>
  </w:style>
  <w:style w:type="table" w:default="1" w:styleId="9">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3">
    <w:name w:val="Body Text"/>
    <w:basedOn w:val="1"/>
    <w:qFormat/>
    <w:uiPriority w:val="0"/>
    <w:rPr>
      <w:rFonts w:ascii="Arial" w:hAnsi="Arial" w:eastAsia="Arial" w:cs="Arial"/>
      <w:sz w:val="21"/>
      <w:szCs w:val="21"/>
      <w:lang w:val="en-US" w:eastAsia="en-US" w:bidi="ar-SA"/>
    </w:rPr>
  </w:style>
  <w:style w:type="paragraph" w:styleId="4">
    <w:name w:val="Plain Text"/>
    <w:basedOn w:val="1"/>
    <w:qFormat/>
    <w:uiPriority w:val="0"/>
    <w:rPr>
      <w:rFonts w:ascii="宋体" w:hAnsi="Courier New" w:eastAsia="宋体" w:cs="Courier New"/>
      <w:szCs w:val="21"/>
    </w:rPr>
  </w:style>
  <w:style w:type="paragraph" w:styleId="5">
    <w:name w:val="Date"/>
    <w:basedOn w:val="1"/>
    <w:next w:val="1"/>
    <w:qFormat/>
    <w:uiPriority w:val="0"/>
    <w:pPr>
      <w:ind w:left="100" w:leftChars="2500"/>
    </w:pPr>
    <w:rPr>
      <w:rFonts w:ascii="Times New Roman" w:hAnsi="Times New Roman" w:eastAsia="宋体" w:cs="Times New Roman"/>
    </w:rPr>
  </w:style>
  <w:style w:type="paragraph" w:styleId="6">
    <w:name w:val="footer"/>
    <w:basedOn w:val="1"/>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7">
    <w:name w:val="header"/>
    <w:basedOn w:val="1"/>
    <w:qFormat/>
    <w:uiPriority w:val="0"/>
    <w:pPr>
      <w:widowControl w:val="0"/>
      <w:pBdr>
        <w:bottom w:val="single" w:color="auto" w:sz="6" w:space="1"/>
      </w:pBdr>
      <w:tabs>
        <w:tab w:val="center" w:pos="4140"/>
        <w:tab w:val="right" w:pos="8300"/>
      </w:tabs>
      <w:snapToGrid w:val="0"/>
      <w:spacing w:after="0"/>
      <w:jc w:val="center"/>
    </w:pPr>
    <w:rPr>
      <w:rFonts w:ascii="Times New Roman" w:hAnsi="Times New Roman" w:eastAsia="宋体" w:cs="Times New Roman"/>
      <w:kern w:val="2"/>
      <w:sz w:val="18"/>
      <w:szCs w:val="18"/>
      <w:lang w:val="en-US" w:eastAsia="zh-CN" w:bidi="ar-SA"/>
    </w:rPr>
  </w:style>
  <w:style w:type="paragraph" w:styleId="8">
    <w:name w:val="Normal (Web)"/>
    <w:basedOn w:val="1"/>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China</Company>
  <Pages>29</Pages>
  <Words>11714</Words>
  <Characters>11785</Characters>
  <Lines>285</Lines>
  <Paragraphs>168</Paragraphs>
  <TotalTime>28</TotalTime>
  <ScaleCrop>false</ScaleCrop>
  <LinksUpToDate>false</LinksUpToDate>
  <CharactersWithSpaces>11858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2018-08-08T10:19:00Z</dcterms:created>
  <dc:creator>User</dc:creator>
  <cp:lastModifiedBy>暮语星宸</cp:lastModifiedBy>
  <cp:lastPrinted>2026-07-29T06:59:00Z</cp:lastPrinted>
  <dcterms:modified xsi:type="dcterms:W3CDTF">2026-08-18T02:23:40Z</dcterms:modified>
  <dc:title>关于印发建安区人民政府投资项目和资金管理办法的通知</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58B5E19BFA3D4081A35CF80107820FED_13</vt:lpwstr>
  </property>
  <property fmtid="{D5CDD505-2E9C-101B-9397-08002B2CF9AE}" pid="4" name="KSOTemplateDocerSaveRecord">
    <vt:lpwstr>eyJoZGlkIjoiMGJiNjc2N2U0MjM2MWJlNGJlM2QxNGFkNmU3MDRmZjEiLCJ1c2VySWQiOiI0MzM2Mzc3NDEifQ==</vt:lpwstr>
  </property>
</Properties>
</file>