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i w:val="0"/>
          <w:iCs w:val="0"/>
          <w:caps w:val="0"/>
          <w:color w:val="444444"/>
          <w:spacing w:val="0"/>
          <w:sz w:val="33"/>
          <w:szCs w:val="33"/>
          <w:shd w:val="clear" w:fill="FFFFFF"/>
        </w:rPr>
      </w:pPr>
      <w:r>
        <w:rPr>
          <w:rFonts w:hint="eastAsia" w:ascii="方正小标宋简体" w:hAnsi="方正小标宋简体" w:eastAsia="方正小标宋简体" w:cs="方正小标宋简体"/>
          <w:i w:val="0"/>
          <w:iCs w:val="0"/>
          <w:caps w:val="0"/>
          <w:color w:val="444444"/>
          <w:spacing w:val="0"/>
          <w:sz w:val="33"/>
          <w:szCs w:val="33"/>
          <w:shd w:val="clear" w:fill="FFFFFF"/>
        </w:rPr>
        <w:t>民政部 财政部关于进一步加强和改进临时救助工作的意见》（民发〔2018〕23号）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各省、自治区、直辖市民政厅（局）、财政厅（局），新疆生产建设兵团民政局、财务局：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一、明确总体要求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二、完善政策措施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二）优化审核审批程序。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三、强化组织保障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一）加强组织领导。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3"/>
          <w:szCs w:val="33"/>
          <w:shd w:val="clear" w:fill="FFFFFF"/>
        </w:rPr>
      </w:pPr>
      <w:r>
        <w:rPr>
          <w:rFonts w:hint="default" w:ascii="仿宋_GB2312" w:hAnsi="仿宋_GB2312" w:eastAsia="仿宋_GB2312" w:cs="仿宋_GB2312"/>
          <w:i w:val="0"/>
          <w:iCs w:val="0"/>
          <w:caps w:val="0"/>
          <w:color w:val="444444"/>
          <w:spacing w:val="0"/>
          <w:sz w:val="33"/>
          <w:szCs w:val="33"/>
          <w:shd w:val="clear" w:fill="FFFFFF"/>
        </w:rPr>
        <w:t>（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7504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2022-08-15T03:18:44Z</dcterms:created>
  <dc:creator>Administrator</dc:creator>
  <cp:lastModifiedBy>阿毅</cp:lastModifiedBy>
  <dcterms:modified xsi:type="dcterms:W3CDTF">2022-08-15T03:19:24Z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F02C78208698411E843568F9447FEA85</vt:lpwstr>
  </property>
</Properties>
</file>