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23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昌</w:t>
      </w:r>
      <w:bookmarkStart w:id="0" w:name="OLE_LINK43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盛路以北、灞陵路以西</w:t>
      </w:r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局部地块控制性详细规划</w:t>
      </w:r>
      <w:r>
        <w:rPr>
          <w:rFonts w:hint="eastAsia" w:ascii="Times New Roman" w:hAnsi="Times New Roman" w:cs="仿宋_GB2312"/>
          <w:b/>
          <w:bCs/>
          <w:kern w:val="2"/>
          <w:sz w:val="32"/>
          <w:szCs w:val="32"/>
          <w:lang w:val="en-US" w:eastAsia="zh-CN" w:bidi="ar-SA"/>
        </w:rPr>
        <w:t>（调整）</w:t>
      </w:r>
    </w:p>
    <w:p w14:paraId="086AB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调整内容:将1-1、1-2、1-3号地块用地性质由公用设施用地调整为工业用地，指标依据现行规范进行控制。</w:t>
      </w:r>
    </w:p>
    <w:p w14:paraId="20AD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调整后指标：规划用地面积27224平方米（40.84亩），其中1—1号地块用地面积：5302平方米，1—2号地块用地面积：7559平方米，1—3号地块用地面积：14363平方米，用地性质：</w:t>
      </w:r>
      <w:bookmarkStart w:id="1" w:name="OLE_LINK47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工业，行业分类：农副食品加工业，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建筑限高：＞8米 ，建筑系数：≥40% ，容 积 率：≥1.0，绿 地 率：＜20%，机动车停车位:≥0.1车位/100㎡建筑面积。</w:t>
      </w:r>
    </w:p>
    <w:p w14:paraId="29532748">
      <w:pPr>
        <w:ind w:firstLine="640" w:firstLineChars="200"/>
        <w:rPr>
          <w:rFonts w:hint="eastAsia" w:ascii="Times New Roman" w:hAnsi="Times New Roman" w:cs="仿宋_GB2312"/>
        </w:rPr>
      </w:pP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74310" cy="7467600"/>
            <wp:effectExtent l="0" t="0" r="2540" b="0"/>
            <wp:docPr id="1" name="图片 1" descr="ef75d63abe6d7b232cfa494eb341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75d63abe6d7b232cfa494eb3415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8DC000A"/>
    <w:rsid w:val="1A741B5A"/>
    <w:rsid w:val="1AB97CE2"/>
    <w:rsid w:val="1CE617B0"/>
    <w:rsid w:val="1D4631DD"/>
    <w:rsid w:val="22E001C5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72446B0F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285</Characters>
  <Lines>2</Lines>
  <Paragraphs>1</Paragraphs>
  <TotalTime>1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2025-12-11T11:10:29Z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