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宋体" w:hAnsi="宋体" w:eastAsia="宋体" w:cs="宋体"/>
          <w:b w:val="0"/>
          <w:bCs w:val="0"/>
          <w:color w:val="454545"/>
          <w:sz w:val="42"/>
          <w:szCs w:val="42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454545"/>
          <w:spacing w:val="0"/>
          <w:sz w:val="42"/>
          <w:szCs w:val="42"/>
          <w:bdr w:val="none" w:color="auto" w:sz="0" w:space="0"/>
          <w:shd w:val="clear" w:fill="FFFFFF"/>
        </w:rPr>
        <w:t>2022年民政部门负责的养老机构行政处罚信息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依据《中华人民共和国老年人权益保障法》、《中华人民共和国行政强制法》、《中华人民共和国行政处罚法》、《养老机构管理办法》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行政处罚事项及标准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养老机构有下列行为之一的，由实施许可的民政部门责令改正；情节严重的，处以3万元以下的罚款；构成犯罪的，依法追究刑事责任：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1、未与老年人或者其代理人签订服务协议，或者协议不符合规定的；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2、未按照国家有关标准和规定开展服务的；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3、配备人员的资格不符合规定的；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4、向负责监督检查的民政部门隐瞒有关情况、提供虚假材料或者拒绝提供反映其活动情况真实材料的；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5、利用养老机构的房屋、场地、设施开展与养老服务宗旨无关的活动的；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6、歧视、侮辱、虐待或遗弃老年人以及其他侵犯老年人合法权益行为的；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7、擅自暂停或者终止服务的；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8、法律、法规、规章规定的其他违法行为。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行政处罚结果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2022年上半年没有发现养老机构出现违反以上事项情况。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行政复议、行政诉讼、监督方式及电话: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5134828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1MWJmNzExNjAwZGIwZjdiZGZhZTM0ZDE0ZDFiZDAifQ=="/>
  </w:docVars>
  <w:rsids>
    <w:rsidRoot w:val="00000000"/>
    <w:rsid w:val="0D30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454</Words>
  <Characters>479</Characters>
  <Lines>0</Lines>
  <Paragraphs>0</Paragraphs>
  <TotalTime>0</TotalTime>
  <ScaleCrop>false</ScaleCrop>
  <LinksUpToDate>false</LinksUpToDate>
  <CharactersWithSpaces>486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2022-10-25T09:46:29Z</dcterms:created>
  <dc:creator>lenovo</dc:creator>
  <cp:lastModifiedBy>彦兵</cp:lastModifiedBy>
  <dcterms:modified xsi:type="dcterms:W3CDTF">2022-10-25T09:46:52Z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96DF8525BFB9496AB3BDCAD89E482158</vt:lpwstr>
  </property>
</Properties>
</file>