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660" w:lineRule="exact"/>
        <w:rPr>
          <w:rFonts w:ascii="方正小标宋_GBK" w:hAnsi="方正小标宋简体" w:eastAsia="方正小标宋_GBK" w:cs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关于对建安区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届政协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次会议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74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号提案的答复</w:t>
      </w:r>
    </w:p>
    <w:bookmarkEnd w:id="0"/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rPr>
          <w:rFonts w:hint="eastAsia" w:ascii="仿宋_GB2312" w:hAnsi="仿宋" w:eastAsia="仿宋_GB2312" w:cs="仿宋"/>
          <w:kern w:val="2"/>
          <w:sz w:val="30"/>
          <w:szCs w:val="30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韩法昌委员：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您提出的关于“坚持精准治污、科学治污、依法治污，深入打好污染防治攻坚战”的提案收悉。现答复如下：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微软雅黑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近年来，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在区委区政府正确领导下，</w:t>
      </w:r>
      <w:r>
        <w:rPr>
          <w:rFonts w:hint="eastAsia" w:hAnsi="微软雅黑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全区坚持</w:t>
      </w:r>
      <w:r>
        <w:rPr>
          <w:rFonts w:hint="eastAsia" w:hAnsi="微软雅黑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以“党的二十大精神”和习近平生态文明思想为指导，深入贯彻落实新发展理念，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以“改善环境质量、保障环境安全”为核心，以重点领域污染防治攻坚为突破口，从源头抓起，从基础做起，协调推进</w:t>
      </w:r>
      <w:r>
        <w:rPr>
          <w:rFonts w:hint="eastAsia" w:ascii="宋体" w:hAnsi="宋体" w:cs="仿宋_GB2312"/>
          <w:kern w:val="2"/>
          <w:sz w:val="32"/>
          <w:szCs w:val="32"/>
          <w:lang w:val="en-US" w:eastAsia="zh-CN" w:bidi="ar-SA"/>
        </w:rPr>
        <w:t>污染防治攻坚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，着力改善生态环境质量。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一、污染防治攻坚情况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全区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  <w:t>深入践行“绿水青山就是金山银山”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发展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  <w:t>理念，以坚决有力的行动，把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环境保护工作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  <w:t>抓在手上、落在实处。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组织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  <w:t>印发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全区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  <w:t>《关于加快构建现代环境治理体系的实施意见》，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进一步梳理、细化各单位职责，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  <w:t>凝聚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污染防治攻坚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  <w:t>合力，为打造生态强区、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高质量发展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zh-CN" w:eastAsia="zh-CN" w:bidi="ar-SA"/>
        </w:rPr>
        <w:t>做好制度保障。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71" w:firstLineChars="200"/>
        <w:textAlignment w:val="auto"/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7"/>
          <w:sz w:val="32"/>
          <w:szCs w:val="32"/>
          <w:highlight w:val="none"/>
          <w:shd w:val="clear" w:color="auto" w:fill="FFFFFF"/>
          <w:lang w:val="en-US" w:eastAsia="zh-CN"/>
        </w:rPr>
        <w:t>（一）完善机制，持续加大攻坚力度。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区环委办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各有关部门扛稳扛牢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污染防治政治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责任，抓好问题整改，扎实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推进攻坚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行动，推动生态环境质量持续改善。区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生态环境局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立足新发展阶段，服务和融入构建新发展格局，把生态环保融入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发展大局，发挥引领、优化和倒逼作用，有序推动绿色低碳发展，努力实现经济发展和环境保护协同共进。把握好节奏和力度，保持战略定力和耐心，稳扎稳打，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持续推动生态环境保护工作落实落细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71" w:firstLineChars="200"/>
        <w:textAlignment w:val="auto"/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7"/>
          <w:sz w:val="32"/>
          <w:szCs w:val="32"/>
          <w:highlight w:val="none"/>
          <w:shd w:val="clear" w:color="auto" w:fill="FFFFFF"/>
          <w:lang w:val="en-US" w:eastAsia="zh-CN"/>
        </w:rPr>
        <w:t>（二）紧盯目标，全力落实攻坚任务。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一是推动空气质量改善。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坚持以空气质量改善为目标，协调、指导区环委办各成员单位、各乡镇深入排查问题短板，对照目标采取行之有效的措施，狠抓企业达标排放、扬尘防治、“散乱污”整治、秸秆散煤禁烧，既抓当前又管长远，保障大气质量改善。突出“源头减污”，不断提升环境治理实效。对重点行业开展无组织排放治理、低效治理设施改造、低VOCs原料替代，组织专家团队科学施策，从源头替代、过程控制、末端治理等环节实施全过程控制，持续减少污染物排放。2023年全区共涉及大气污染防治重点任务5大类，21个项目。分别是落后低效产能淘汰退出3个、重点领域节能降碳改造4个、工业污染排放深度治理6个、涉VOCs企业综合治理3个、VOCs泄漏检测与修复5个。截至9月底已提前完成。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二是打好碧水攻坚战。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坚持以水环境突出问题为导向，密切跟踪水质变化，及时开展超标预警排查，消除问题隐患。开展入河排污口排查，建立清单定期巡查监测，发现问题及时指导整改。加强化工园区污水处理监管，压实主体责任，保障达标排放。积极推进清潩河、颍河“一河一图一策”应急方案编制。开展黑臭水体整治，实现全域黑臭水体动态清零。截至目前，全区饮用水源（备用）和乡镇千吨万人集中式饮用水源水质合格率100%，颍河、清潩河水质达标率100%。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三是强化土壤污染防治。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加强重点建设用地监管，完成3宗地块土壤污染状况调查，并指导通过市级评审。以18个村庄农村环境整治为契机，以饮用水安全、垃圾集中清运、生活污水治理和畜禽养殖污染防治为重点，助推乡村人居环境改善。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四是深化“无废城市”建设。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健全“无废生活”体系，打造清洁“无废乡村”，强化宣传引导，推进全域“无废城市”创建。以“无废细胞”创建为重点，推进38个“无废社区”“无废学校”等建设。立足环保装备服务产业园，引入更多环保企业，助力无废城市建设。以区“绿色零碳发制品产业园+环保装备产业园”为重点，谋划无废城市建设项目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71" w:firstLineChars="200"/>
        <w:textAlignment w:val="auto"/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7"/>
          <w:sz w:val="32"/>
          <w:szCs w:val="32"/>
          <w:highlight w:val="none"/>
          <w:shd w:val="clear" w:color="auto" w:fill="FFFFFF"/>
          <w:lang w:val="en-US" w:eastAsia="zh-CN"/>
        </w:rPr>
        <w:t>（三）聚焦重点，深入污染防治攻坚。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一是全力做好监督帮扶问题整改。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生态环境部监督帮扶组在我市共开展工作8轮次，交办问题涉建安区44个，其中立行立改38个，跟踪督办6个。截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目前均已整改到位。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二是积极配合生态环境执法监督专项行动。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省生态环境执法局9月开展全省异地专项督察，以挥发性有机物治理，清洁生产，散乱污整治为重点实施现场检查。交办我区问题3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，均已整改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销号。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扎实开展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散乱污排查整治。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定期开展“散乱污”企业整治“回头看、回头查”，强化源头管控，做到隐患整改闭环管理，防止问题反弹，确保动态“清零”。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积极办理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环境信访</w:t>
      </w:r>
      <w:r>
        <w:rPr>
          <w:rFonts w:hint="eastAsia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事件</w:t>
      </w:r>
      <w:r>
        <w:rPr>
          <w:rFonts w:hint="default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截至目前累计受理环境信访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事件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83件，其中涉气17件，噪声35件，其他31件。现已办结82件，1件办理中，办结率98.8%。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71" w:firstLineChars="200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pacing w:val="7"/>
          <w:sz w:val="32"/>
          <w:szCs w:val="32"/>
          <w:highlight w:val="none"/>
          <w:shd w:val="clear" w:color="auto" w:fill="FFFFFF"/>
          <w:lang w:val="en-US" w:eastAsia="zh-CN"/>
        </w:rPr>
        <w:t>（四）突出问题整改，巩固生态安全。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坚决扛起中央生态环保督察整改政治责任，着力解决一批突出环境问题。对中央督察组交办问题，坚持标本兼治、从严从实抓整改，严防问题反弹。紧盯整改任务，加快多式联运物流港铁路线建设和农村污水处理设施问题整改。对已完成的25个问题，定期开展“回头看”巩固成效。强化国土空间管控，构建“三线一单”管控体系，全面落实生态保护分区管控，从严从紧控制“两高”项目建设，加快绿色转型，使环境突出问题得到有效治理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通过持续污染防治攻坚，实现了“三个优化”，推动了“三个转变”，守牢了“三个底线”。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环境质量持续优化。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9月底，全区空气质量综合指数4.14，中心五区排名第2。PM2.5平均浓度42.2微克/立方米，中心五区排名第1；优良天累计179天，中心五区排名第1。五月份以来，全区空气质量持续向好，综合指数排名连续靠前，七、八、九月中心五区排名第1，特别是七月份，空气质量在全省88区取得第2的好成绩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十四五以来相比十三五，天更蓝了，全区PM2.5、PM10分别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17.9%、21.2%，优良天增加15天。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水生态环境已成建安区一张名片，清潩河及三达湿地，已成外地党政单位观摩、群众打卡的“网红地”。土壤环境质量持续稳定，土壤环境风险安全可控，始终保持受污染耕地和污染地块零记录，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auto"/>
          <w:lang w:eastAsia="zh-CN"/>
        </w:rPr>
        <w:t>重点建设用地安全利用得到有效保障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shd w:val="clear" w:color="auto" w:fill="auto"/>
        </w:rPr>
        <w:t>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二是营商环境不断优化。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局坚持“要素跟着项目走”，做好环评审批、排污许可服务。生态环境局打造的“生态+营商”双优环境，被省、市营商环境办及多家媒体作为典型案例转发。承担的红东方六氟磷酸锂环评报批工作，帮扶企业以14个工作日完成省厅受理、专家评审、处务会审查、厅长办公会审核、公示、正式批复的全部流程，创造了同类项目环评审查审批时限“新纪录”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三是执法监管深入优化。</w:t>
      </w:r>
      <w:r>
        <w:rPr>
          <w:rFonts w:hint="default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实施差异化监管，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对守法者“无事不扰”，</w:t>
      </w:r>
      <w:r>
        <w:rPr>
          <w:rFonts w:hint="default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做到有事必应、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精准帮扶，解决问题。</w:t>
      </w:r>
      <w:r>
        <w:rPr>
          <w:rFonts w:hint="default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提高非现场执法比例，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运用好在线监控、视频监控、网络监控等</w:t>
      </w:r>
      <w:r>
        <w:rPr>
          <w:rFonts w:hint="default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非现场执法手段，减轻企业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迎检</w:t>
      </w:r>
      <w:r>
        <w:rPr>
          <w:rFonts w:hint="default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负担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/>
          <w:b/>
          <w:kern w:val="2"/>
          <w:sz w:val="32"/>
          <w:lang w:eastAsia="zh-CN"/>
        </w:rPr>
        <w:t>推动了“三个转变”</w:t>
      </w:r>
      <w:r>
        <w:rPr>
          <w:rFonts w:hint="eastAsia" w:ascii="楷体" w:hAnsi="楷体" w:eastAsia="楷体"/>
          <w:b/>
          <w:kern w:val="2"/>
          <w:sz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一是推动环评审批由“单个审批”向园区“打捆审批”转变，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既简化了环评审批手续，压缩了审批时间、提升了办事效率，又帮助企业节省建设和运营成本，实现项目“拎包入住”，受到省市充分肯定，并在各级主流媒体平台进行广泛宣传报道。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二是推动环境执法由“撒网式”向“精准式”转变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施线上线下联动，拓展非现场监管手段，充分发挥正面清单示范引领导向作用，加大差异化监管力度。在2023年生态环境部8轮次监督帮扶检查中，建安区问题企业数量和问题总数在全市各县区中最少，无一家企业因上级执法检查而停产，更无企业因环境执法检查导致生产经营受到影响。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三是推动环境信访由“程序办结”向“实体办结”转变。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注重环境信访问题办理的结果和实效，切实维护群众合法环境权益。今年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累计受理环境信访事项83件，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同比信访数量减少60%以上，确保了生态环境领域信访稳定，保障了较大信访问题零发生，更没有因生态环境问题给全区信访工作造成被动。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kern w:val="2"/>
          <w:sz w:val="32"/>
          <w:szCs w:val="24"/>
          <w:lang w:val="en-US" w:eastAsia="zh-CN" w:bidi="ar-SA"/>
        </w:rPr>
        <w:t>守牢了“三个底线”。一是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守牢了生态环境“三线一单”红线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落实好建安区产业定位和环境管控要求，把好项目准入关，在发展中守住环保底线。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今年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累计审批项目环评37个，上报省厅审批2个、市局审批4个，服务保障重点项目115个、“三个一批”项目33个，均未出现逾越红线问题。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二是守牢了生态环境安全底线。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坚持以高水平保护助推高质量发展，落实好各项环境保护制度措施，定期开展突发生态环境事件应急演练，确保了全区生态环境安全、核辐射安全、危险废物安全。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三是坚守了不发生较大环境问题底线。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聚焦中央环保督察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省委环保督察反馈问题，逐项明确整改措施，具体责任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，确保问题改到位、改彻底。在近年来中央和省委环保督察中，我区未出现被上级通报典型违法问题，无媒体聚焦、舆论热点问题，辖区重点企业更无因环境保护问题被停产、关停。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CESI黑体-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CESI黑体-GB2312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CESI黑体-GB2312"/>
          <w:b w:val="0"/>
          <w:bCs w:val="0"/>
          <w:color w:val="000000"/>
          <w:sz w:val="32"/>
          <w:szCs w:val="32"/>
        </w:rPr>
        <w:t>、存在问题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/>
          <w:sz w:val="32"/>
          <w:highlight w:val="none"/>
          <w:lang w:val="en-US" w:eastAsia="zh-CN"/>
        </w:rPr>
        <w:t>（一）空气质量个别指标</w:t>
      </w:r>
      <w:r>
        <w:rPr>
          <w:rFonts w:hint="eastAsia" w:ascii="Times New Roman" w:hAnsi="Times New Roman" w:eastAsia="楷体_GB2312" w:cs="Times New Roman"/>
          <w:b/>
          <w:sz w:val="32"/>
          <w:highlight w:val="none"/>
          <w:lang w:val="en-US" w:eastAsia="zh-CN"/>
        </w:rPr>
        <w:t>完成有压力。</w:t>
      </w:r>
      <w:r>
        <w:rPr>
          <w:rFonts w:hint="eastAsia" w:eastAsia="楷体_GB2312" w:cs="Times New Roman"/>
          <w:b/>
          <w:sz w:val="32"/>
          <w:highlight w:val="none"/>
          <w:lang w:val="en-US" w:eastAsia="zh-CN"/>
        </w:rPr>
        <w:t>主因一是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受沙尘天气影响</w:t>
      </w:r>
      <w:r>
        <w:rPr>
          <w:rFonts w:hint="eastAsia" w:ascii="仿宋_GB2312" w:cs="Times New Roman"/>
          <w:sz w:val="32"/>
          <w:szCs w:val="32"/>
          <w:lang w:val="en-US" w:eastAsia="zh-CN"/>
        </w:rPr>
        <w:t>大。导致</w:t>
      </w:r>
      <w:r>
        <w:rPr>
          <w:rFonts w:ascii="仿宋_GB2312" w:eastAsia="仿宋_GB2312" w:cs="Times New Roman"/>
          <w:sz w:val="32"/>
          <w:szCs w:val="32"/>
        </w:rPr>
        <w:t>PM10反弹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排名靠后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cs="Times New Roman"/>
          <w:sz w:val="32"/>
          <w:szCs w:val="32"/>
          <w:lang w:val="en-US" w:eastAsia="zh-CN"/>
        </w:rPr>
        <w:t>并形成了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15天</w:t>
      </w:r>
      <w:r>
        <w:rPr>
          <w:rFonts w:hint="eastAsia" w:ascii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重污染</w:t>
      </w:r>
      <w:r>
        <w:rPr>
          <w:rFonts w:hint="eastAsia" w:ascii="仿宋_GB2312" w:cs="Times New Roman"/>
          <w:sz w:val="32"/>
          <w:szCs w:val="32"/>
          <w:lang w:val="en-US" w:eastAsia="zh-CN"/>
        </w:rPr>
        <w:t>天气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</w:t>
      </w:r>
      <w:r>
        <w:rPr>
          <w:rFonts w:ascii="仿宋_GB2312" w:eastAsia="仿宋_GB2312" w:cs="Times New Roman"/>
          <w:sz w:val="32"/>
          <w:szCs w:val="32"/>
        </w:rPr>
        <w:t>精细化管理不到位。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兴业大厦</w:t>
      </w:r>
      <w:r>
        <w:rPr>
          <w:rFonts w:ascii="仿宋_GB2312" w:eastAsia="仿宋_GB2312" w:cs="Times New Roman"/>
          <w:sz w:val="32"/>
          <w:szCs w:val="32"/>
        </w:rPr>
        <w:t>国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控站点</w:t>
      </w:r>
      <w:r>
        <w:rPr>
          <w:rFonts w:ascii="仿宋_GB2312" w:eastAsia="仿宋_GB2312" w:cs="Times New Roman"/>
          <w:sz w:val="32"/>
          <w:szCs w:val="32"/>
        </w:rPr>
        <w:t>周边</w:t>
      </w:r>
      <w:r>
        <w:rPr>
          <w:rFonts w:hint="eastAsia" w:ascii="仿宋_GB2312" w:cs="Times New Roman"/>
          <w:sz w:val="32"/>
          <w:szCs w:val="32"/>
          <w:lang w:val="en-US" w:eastAsia="zh-CN"/>
        </w:rPr>
        <w:t>施工工地多、</w:t>
      </w:r>
      <w:r>
        <w:rPr>
          <w:rFonts w:ascii="仿宋_GB2312" w:eastAsia="仿宋_GB2312" w:cs="Times New Roman"/>
          <w:sz w:val="32"/>
          <w:szCs w:val="32"/>
        </w:rPr>
        <w:t>餐饮门店多，流动摊贩多，交通流量大，管理难度大</w:t>
      </w:r>
      <w:r>
        <w:rPr>
          <w:rFonts w:hint="eastAsia" w:ascii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cs="Times New Roman"/>
          <w:sz w:val="32"/>
          <w:szCs w:val="32"/>
          <w:lang w:val="en-US" w:eastAsia="zh-CN"/>
        </w:rPr>
        <w:t>部分时段空气改善差。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精准治污落实有差距。针对空气质量变化，目前已能够及时预测、研判并调度做好防范，但在措施落实上还有差距，导致问题整改慢、数据恢复迟缓。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/>
          <w:sz w:val="32"/>
          <w:highlight w:val="none"/>
          <w:lang w:val="en-US" w:eastAsia="zh-CN"/>
        </w:rPr>
        <w:t>（二）环境基础设施历史欠账较多</w:t>
      </w:r>
      <w:r>
        <w:rPr>
          <w:rFonts w:hint="default" w:ascii="Times New Roman" w:hAnsi="Times New Roman" w:eastAsia="楷体_GB2312" w:cs="Times New Roman"/>
          <w:b/>
          <w:sz w:val="32"/>
          <w:highlight w:val="none"/>
        </w:rPr>
        <w:t>。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小洪河总磷超标，完成全年目标任务艰巨。主因是河道流水不畅，淤泥污染物聚积，垃圾清理不及时，形成污染隐患；化工园区污染防治基础设施欠账多，如二污未进行提标改造、初期雨水收集不规范，严重影响水质。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清潩河老城区段雨污管网混接错接、污水溢流，长期存在雨水管网排污。初期雨水自动收集设备管护不到位，被市环委办多次通报。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农村污水处理设施建设滞后、运营不规范、管理不标准，对年底前各乡镇（街道）镇区污水处理设施投入运营要求，还有较大差距。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CESI黑体-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CESI黑体-GB2312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CESI黑体-GB2312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CESI黑体-GB2312"/>
          <w:b w:val="0"/>
          <w:bCs w:val="0"/>
          <w:color w:val="000000"/>
          <w:sz w:val="32"/>
          <w:szCs w:val="32"/>
          <w:lang w:val="en-US" w:eastAsia="zh-CN"/>
        </w:rPr>
        <w:t>下步</w:t>
      </w:r>
      <w:r>
        <w:rPr>
          <w:rFonts w:hint="eastAsia" w:ascii="Times New Roman" w:hAnsi="Times New Roman" w:eastAsia="CESI黑体-GB2312"/>
          <w:b w:val="0"/>
          <w:bCs w:val="0"/>
          <w:color w:val="000000"/>
          <w:sz w:val="32"/>
          <w:szCs w:val="32"/>
        </w:rPr>
        <w:t>工作计划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下步污染防治攻坚的总体思路是围绕“一个目标”、紧扣“一条主线”、突出“四个重点”：“一个目标”是建设生态强区，“一条主线”是降碳、减污、扩绿、增长，“四个重点”是突出“降碳”助推城乡融合共同富裕先行试验区建设、突出“减污”全力提升环境治理实效、突出“无废”擦亮“无废如许”品牌、突出“创新”构建现代环境治理体系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（一）持续打好污染防治攻坚战。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谋划环境提升三年行动。对照省、市生态环境保护会议精神，以环委办为平台，协调全区各相关部门，谋划全区三年污染防治提升规划。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统筹抓好臭氧污染治理、挥发性有机物企业治理，做好燃煤散烧治理、烟花爆竹禁燃禁放、“散乱污”企业整治、秸秆禁烧整治、“三散”污染治理，为空气质量改善提供保障。用好“河长”巡河机制，清理整治河道，严打偷排、偷倒污水、固废违法行为，护好水生态名片。实施水环境整治，确保断面稳定达标。巩固土壤安全，严格危险废物、医疗废物处置，确保涉废安全。加强土壤管理，实施工改住宅地块土壤污染调查和工业污染地块检查；开展农用地监测、问题排查，确保粮食生产和农产品安全。持续开展无废城市创建，打造“无废乡村”亮点，示范引导农村人居环境提升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（二）加快构建现代环境治理体系。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以生态环境治理体系和治理能力建设为支撑，坚持问题导向，突出精准施策，实施源头治理、系统治理、整体治理。推动重点行业、企业走绿色、高质量发展之路。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（三）坚持依法治污、科学治污。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坚持新发展理念，始终把生态环境保护摆在优先位置，筑牢高质量发展绿色基石，狠抓生态环境保护督察整改，坚持精准治污、科学治污、依法治污，全力打好打赢污染防治攻坚战。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（四）坚持绿色转型。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增强系统观念，处理好发展和减排、整体和局部、当前和长远、政府和市场等关系，加快产业绿色改造升级，培育壮大绿色产业，推动经济社会发展绿色化、低碳化。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（五）加快监测能力建设。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照生态环境系统垂直改革要求，环境监测站已更名为中心城区执法监测中心，以改革为契机，结合市中心城区、执法监测等工作定位，积极争取上级资金、政策等支持，加快实验室建设，提升服务污染防治攻坚和经济建设服务、保障能力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（六）加快创新驱动。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结合环保工作实际，解放思想，创新服务、执法工作方法，提升服务经济高质量发展能力。创新练兵 提升执法实战水平；创新执法 高效打击环境违法犯罪；创新服务 促进企业自觉守法。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宋体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（七）强化资金保障。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发挥生态环保资金引领作用，加强资金使用效益，协同推进降碳减污扩绿增长，推动经济社会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绿色发展。一方面加强统筹财力，保障资金投入，另一方面要完善流程，规范资金使用，围绕绩效强化资金监管。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（八）加强能效管理。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发挥生态环境保护资金效能，实施损害赔偿、治理奖补等措施，不断增强生态环境保护动力。围绕“政策”“项目”“资金”主线，保障财政资金规范高效运行。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下一步，我局将把提案作为重要的信息资源和智力资源，作为下一阶段工作的着力点，强化政策研究和工作措施，推进污染防治工作取得更好成效，真正做到让委员满意，让群众满意。同时，也再次感谢您对建安区生态环境保护的关心和支持，希望在今后的工作中，继续支持全区生态环境保护工作，共同推进全区生态环境保护高质量发展!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2023年10月20日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李军辉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联系电话：51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52638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6"/>
        </w:pBdr>
        <w:tabs>
          <w:tab w:val="left" w:pos="1440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抄  送：区政协提案委（3份），区政府办公室（1份）</w:t>
      </w:r>
    </w:p>
    <w:sectPr>
      <w:pgSz w:w="11906" w:h="16838"/>
      <w:pgMar w:top="172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DEyYjA1ZDQ3ODI3ZjEwNTQ1OGFkMDQ4YTUwN2MifQ=="/>
  </w:docVars>
  <w:rsids>
    <w:rsidRoot w:val="003219CF"/>
    <w:rsid w:val="000D62EC"/>
    <w:rsid w:val="003219CF"/>
    <w:rsid w:val="00666984"/>
    <w:rsid w:val="006B06A9"/>
    <w:rsid w:val="008C7AEB"/>
    <w:rsid w:val="00976CA7"/>
    <w:rsid w:val="009B31BA"/>
    <w:rsid w:val="009F7769"/>
    <w:rsid w:val="00CE28F5"/>
    <w:rsid w:val="00E05D5D"/>
    <w:rsid w:val="00EC2A8B"/>
    <w:rsid w:val="00ED39B9"/>
    <w:rsid w:val="00F34913"/>
    <w:rsid w:val="029B5118"/>
    <w:rsid w:val="0376272C"/>
    <w:rsid w:val="04854DA5"/>
    <w:rsid w:val="05842069"/>
    <w:rsid w:val="074A76CD"/>
    <w:rsid w:val="08226827"/>
    <w:rsid w:val="0BAD5AF1"/>
    <w:rsid w:val="0C55107C"/>
    <w:rsid w:val="0CDF400A"/>
    <w:rsid w:val="0D36608E"/>
    <w:rsid w:val="0D990108"/>
    <w:rsid w:val="0ECD5077"/>
    <w:rsid w:val="0EDF0BE3"/>
    <w:rsid w:val="101C4DD8"/>
    <w:rsid w:val="1053702E"/>
    <w:rsid w:val="10643E90"/>
    <w:rsid w:val="11140033"/>
    <w:rsid w:val="118B3CB6"/>
    <w:rsid w:val="14F70C30"/>
    <w:rsid w:val="15396250"/>
    <w:rsid w:val="16077909"/>
    <w:rsid w:val="161A4003"/>
    <w:rsid w:val="179A486C"/>
    <w:rsid w:val="18511405"/>
    <w:rsid w:val="1878642B"/>
    <w:rsid w:val="1923161F"/>
    <w:rsid w:val="1B1C47F9"/>
    <w:rsid w:val="1D2C0FC6"/>
    <w:rsid w:val="1ED86082"/>
    <w:rsid w:val="1EE63AF4"/>
    <w:rsid w:val="21C25220"/>
    <w:rsid w:val="2AF93BD1"/>
    <w:rsid w:val="2C2E7BCB"/>
    <w:rsid w:val="2F786A26"/>
    <w:rsid w:val="31995995"/>
    <w:rsid w:val="332F0901"/>
    <w:rsid w:val="333D3D9C"/>
    <w:rsid w:val="33EC2A7D"/>
    <w:rsid w:val="34192537"/>
    <w:rsid w:val="351C1DA6"/>
    <w:rsid w:val="354E7793"/>
    <w:rsid w:val="38CF2AC9"/>
    <w:rsid w:val="398D4FD9"/>
    <w:rsid w:val="39E0302C"/>
    <w:rsid w:val="3B813707"/>
    <w:rsid w:val="3C881C67"/>
    <w:rsid w:val="3D095BCB"/>
    <w:rsid w:val="3DF24548"/>
    <w:rsid w:val="3E293561"/>
    <w:rsid w:val="3EEF608B"/>
    <w:rsid w:val="3FD847AF"/>
    <w:rsid w:val="468C25BC"/>
    <w:rsid w:val="47F27824"/>
    <w:rsid w:val="483D4C84"/>
    <w:rsid w:val="4C117A24"/>
    <w:rsid w:val="4D644788"/>
    <w:rsid w:val="4F210258"/>
    <w:rsid w:val="4FDC2D13"/>
    <w:rsid w:val="500A0328"/>
    <w:rsid w:val="50E62772"/>
    <w:rsid w:val="546A1C3A"/>
    <w:rsid w:val="549B4850"/>
    <w:rsid w:val="554A35E5"/>
    <w:rsid w:val="55871979"/>
    <w:rsid w:val="572478E1"/>
    <w:rsid w:val="58274FF7"/>
    <w:rsid w:val="58EA30E7"/>
    <w:rsid w:val="598735A6"/>
    <w:rsid w:val="5BCF6F6D"/>
    <w:rsid w:val="5C005BEC"/>
    <w:rsid w:val="5CDB3B1C"/>
    <w:rsid w:val="5DB0197A"/>
    <w:rsid w:val="5FA73807"/>
    <w:rsid w:val="623710B3"/>
    <w:rsid w:val="637D78D5"/>
    <w:rsid w:val="65420EB8"/>
    <w:rsid w:val="683E36FF"/>
    <w:rsid w:val="68724EFE"/>
    <w:rsid w:val="6A3A0228"/>
    <w:rsid w:val="6C3B647A"/>
    <w:rsid w:val="6F2944CF"/>
    <w:rsid w:val="7176457E"/>
    <w:rsid w:val="72E935B5"/>
    <w:rsid w:val="73D677D1"/>
    <w:rsid w:val="781D369B"/>
    <w:rsid w:val="79CD31BF"/>
    <w:rsid w:val="7A4778AC"/>
    <w:rsid w:val="7D3C0591"/>
    <w:rsid w:val="7F0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仿宋_GB2312" w:hAnsi="仿宋_GB2312" w:eastAsia="仿宋_GB2312" w:cs="Times New Roman"/>
      <w:sz w:val="32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/>
      <w:jc w:val="center"/>
    </w:pPr>
    <w:rPr>
      <w:rFonts w:ascii="楷体_GB2312" w:hAnsi="Times New Roman" w:eastAsia="楷体_GB2312"/>
      <w:sz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页眉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 w:val="32"/>
      <w:szCs w:val="32"/>
    </w:rPr>
  </w:style>
  <w:style w:type="character" w:customStyle="1" w:styleId="16">
    <w:name w:val="批注框文本 字符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日期 字符"/>
    <w:basedOn w:val="11"/>
    <w:link w:val="4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1089</Characters>
  <Lines>9</Lines>
  <Paragraphs>2</Paragraphs>
  <TotalTime>16</TotalTime>
  <ScaleCrop>false</ScaleCrop>
  <LinksUpToDate>false</LinksUpToDate>
  <CharactersWithSpaces>1278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LEE</cp:lastModifiedBy>
  <cp:lastPrinted>2023-10-24T07:42:00Z</cp:lastPrinted>
  <dcterms:modified xsi:type="dcterms:W3CDTF">2023-11-03T02:17:35Z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A34CDF294CD2491C9BA84E9072133AB8_13</vt:lpwstr>
  </property>
</Properties>
</file>