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招商引资、企业培育、科技创新奖励办法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560" w:lineRule="exact"/>
        <w:ind w:leftChars="0"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一、起草情况及过程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560" w:lineRule="exact"/>
        <w:ind w:leftChars="0" w:firstLine="632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为进一步扩大对外开放，实现我区经济跨越式发展的目标，根据马书记的指示，高区长的要求，结合我区实际，鉴于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建安区人民政府关于加大招商引资促进产业转型升级的实施意见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（建安政〔2018〕5号）已到期，重新起草了《关于进一步加强招商引资、企业培育、科技创新促进经济高质量发展的奖励办法（征求意见稿）》，并多次召集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政府办、发改、财政、税务、科工、园区、农业农村、自然资源和规划等部门讨论，由法制办把关形成初稿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560" w:lineRule="exact"/>
        <w:ind w:leftChars="0"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二、《奖励办法》主要内容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《奖励办法》分为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项目入驻条件、重点招引范围、招商引资主体、扶持奖励政策、营商服务承诺、扶持奖励兑现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六个部分。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1、项目入驻条件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color w:val="auto"/>
          <w:highlight w:val="none"/>
        </w:rPr>
      </w:pPr>
      <w:r>
        <w:rPr>
          <w:rFonts w:hint="eastAsia" w:hAnsi="仿宋_GB2312" w:cs="仿宋_GB2312"/>
          <w:b w:val="0"/>
          <w:bCs w:val="0"/>
          <w:color w:val="auto"/>
          <w:highlight w:val="none"/>
          <w:lang w:val="en-US" w:eastAsia="zh-CN"/>
        </w:rPr>
        <w:t>明确了项目入驻的三个条件：</w:t>
      </w:r>
      <w:r>
        <w:rPr>
          <w:rFonts w:hint="eastAsia" w:hAnsi="仿宋_GB2312" w:cs="仿宋_GB2312"/>
          <w:b/>
          <w:bCs/>
          <w:color w:val="auto"/>
          <w:highlight w:val="none"/>
          <w:lang w:val="en-US" w:eastAsia="zh-CN"/>
        </w:rPr>
        <w:t>一是</w:t>
      </w:r>
      <w:r>
        <w:rPr>
          <w:rFonts w:hint="eastAsia" w:hAnsi="仿宋_GB2312" w:cs="仿宋_GB2312"/>
          <w:color w:val="auto"/>
          <w:highlight w:val="none"/>
        </w:rPr>
        <w:t>新上项目均入驻园区和平台，园区和平台以外原则上不再单独供地</w:t>
      </w:r>
      <w:r>
        <w:rPr>
          <w:rFonts w:hint="eastAsia" w:hAnsi="仿宋_GB2312" w:cs="仿宋_GB2312"/>
          <w:color w:val="auto"/>
          <w:highlight w:val="none"/>
          <w:lang w:eastAsia="zh-CN"/>
        </w:rPr>
        <w:t>；</w:t>
      </w:r>
      <w:r>
        <w:rPr>
          <w:rFonts w:hint="eastAsia" w:hAnsi="仿宋_GB2312" w:cs="仿宋_GB2312"/>
          <w:b/>
          <w:bCs/>
          <w:color w:val="auto"/>
          <w:highlight w:val="none"/>
          <w:lang w:val="en-US" w:eastAsia="zh-CN"/>
        </w:rPr>
        <w:t>二是</w:t>
      </w:r>
      <w:r>
        <w:rPr>
          <w:rFonts w:hint="eastAsia" w:hAnsi="仿宋_GB2312" w:cs="仿宋_GB2312"/>
          <w:color w:val="auto"/>
          <w:highlight w:val="none"/>
        </w:rPr>
        <w:t>新上生产性项目固定资产投资须达到</w:t>
      </w:r>
      <w:r>
        <w:rPr>
          <w:rFonts w:hint="eastAsia" w:cs="仿宋_GB2312"/>
          <w:color w:val="auto"/>
          <w:highlight w:val="none"/>
        </w:rPr>
        <w:t>1</w:t>
      </w:r>
      <w:r>
        <w:rPr>
          <w:rFonts w:hint="eastAsia" w:hAnsi="仿宋_GB2312" w:cs="仿宋_GB2312"/>
          <w:color w:val="auto"/>
          <w:highlight w:val="none"/>
        </w:rPr>
        <w:t>亿元以上，纳税强度每年不低于15万元/亩；</w:t>
      </w:r>
      <w:r>
        <w:rPr>
          <w:rFonts w:hint="eastAsia" w:hAnsi="仿宋_GB2312" w:cs="仿宋_GB2312"/>
          <w:b/>
          <w:bCs/>
          <w:color w:val="auto"/>
          <w:highlight w:val="none"/>
          <w:lang w:val="en-US" w:eastAsia="zh-CN"/>
        </w:rPr>
        <w:t>三是</w:t>
      </w:r>
      <w:r>
        <w:rPr>
          <w:rFonts w:hint="eastAsia" w:hAnsi="仿宋_GB2312" w:cs="仿宋_GB2312"/>
          <w:color w:val="auto"/>
          <w:highlight w:val="none"/>
        </w:rPr>
        <w:t>入驻标准化厂房的，纳税强度每年不低于</w:t>
      </w:r>
      <w:r>
        <w:rPr>
          <w:rFonts w:hint="eastAsia" w:hAnsi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hAnsi="仿宋_GB2312" w:cs="仿宋_GB2312"/>
          <w:color w:val="auto"/>
          <w:highlight w:val="none"/>
        </w:rPr>
        <w:t>00元/平方米</w:t>
      </w:r>
      <w:r>
        <w:rPr>
          <w:rFonts w:hint="eastAsia" w:hAnsi="仿宋_GB2312" w:cs="仿宋_GB2312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2、重点招引范围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hd w:val="clear" w:color="auto" w:fill="FFFFFF"/>
          <w:lang w:val="en-US" w:eastAsia="zh-CN"/>
        </w:rPr>
        <w:t>明确了围绕4个方面开展招商引资：</w:t>
      </w:r>
      <w:r>
        <w:rPr>
          <w:rFonts w:hint="eastAsia" w:ascii="仿宋" w:hAnsi="仿宋" w:eastAsia="仿宋" w:cs="仿宋"/>
          <w:b/>
          <w:bCs/>
          <w:color w:val="auto"/>
          <w:sz w:val="32"/>
          <w:shd w:val="clear" w:color="auto" w:fill="FFFFFF"/>
          <w:lang w:val="en-US" w:eastAsia="zh-CN"/>
        </w:rPr>
        <w:t>一是</w:t>
      </w:r>
      <w:r>
        <w:rPr>
          <w:rFonts w:hint="eastAsia"/>
          <w:color w:val="auto"/>
          <w:sz w:val="32"/>
          <w:shd w:val="clear" w:color="auto" w:fill="FFFFFF"/>
          <w:lang w:val="en-US" w:eastAsia="zh-CN"/>
        </w:rPr>
        <w:t>围绕农业现代化、一二三产融合、乡村振兴开展招商；</w:t>
      </w:r>
      <w:r>
        <w:rPr>
          <w:rFonts w:hint="eastAsia"/>
          <w:b/>
          <w:bCs/>
          <w:color w:val="auto"/>
          <w:sz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围绕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“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222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”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现代</w:t>
      </w:r>
      <w:r>
        <w:rPr>
          <w:rFonts w:hint="eastAsia" w:ascii="仿宋_GB2312" w:hAnsi="仿宋_GB2312" w:cs="仿宋_GB2312"/>
          <w:color w:val="auto"/>
          <w:sz w:val="32"/>
        </w:rPr>
        <w:t>产业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体系开展招商；</w:t>
      </w:r>
      <w:r>
        <w:rPr>
          <w:rFonts w:hint="eastAsia" w:ascii="仿宋_GB2312" w:hAnsi="仿宋_GB2312" w:cs="仿宋_GB2312"/>
          <w:b/>
          <w:bCs/>
          <w:color w:val="auto"/>
          <w:sz w:val="32"/>
          <w:lang w:val="en-US" w:eastAsia="zh-CN"/>
        </w:rPr>
        <w:t>三是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围绕开放发展平台开展招商；</w:t>
      </w:r>
      <w:r>
        <w:rPr>
          <w:rFonts w:hint="eastAsia" w:ascii="仿宋_GB2312" w:hAnsi="仿宋_GB2312" w:cs="仿宋_GB2312"/>
          <w:b/>
          <w:bCs/>
          <w:color w:val="auto"/>
          <w:sz w:val="32"/>
          <w:lang w:val="en-US" w:eastAsia="zh-CN"/>
        </w:rPr>
        <w:t>四是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围绕生产性服务业及生活性服务业开展招商。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3、招商引资主体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坚持区级领导带头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，建立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乡镇办、园区、区直部门全员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参与的招商机制；</w:t>
      </w: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积极发挥企业招商主体作用；</w:t>
      </w: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在粤港澳大湾区、长三角地区、中部发达地区等区域设立招商联络处，开展驻地招商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4、扶持奖励政策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在扶持奖励政策方面，明确了具体奖励办法。一是纳税贡献奖励。二是设备补贴奖励。三是房屋租赁补贴。四是企业培育奖励。五是</w:t>
      </w:r>
      <w:r>
        <w:rPr>
          <w:rFonts w:hint="eastAsia" w:ascii="仿宋" w:hAnsi="仿宋" w:eastAsia="仿宋" w:cs="仿宋"/>
          <w:b w:val="0"/>
          <w:bCs w:val="0"/>
          <w:color w:val="auto"/>
          <w:spacing w:val="-1"/>
          <w:sz w:val="32"/>
          <w:szCs w:val="32"/>
          <w:lang w:val="en-US" w:eastAsia="zh-CN"/>
        </w:rPr>
        <w:t>科技创新扶持。六是服务业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纳税贡献奖励。七是</w:t>
      </w:r>
      <w:r>
        <w:rPr>
          <w:rFonts w:hint="eastAsia" w:ascii="仿宋" w:hAnsi="仿宋" w:eastAsia="仿宋" w:cs="仿宋"/>
          <w:b w:val="0"/>
          <w:bCs w:val="0"/>
          <w:color w:val="auto"/>
          <w:spacing w:val="-1"/>
          <w:sz w:val="32"/>
          <w:szCs w:val="32"/>
          <w:lang w:val="en-US" w:eastAsia="zh-CN"/>
        </w:rPr>
        <w:t>设立新兴产业投资引导基金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。八是特殊贡献奖励。九是招商贡献奖励。</w:t>
      </w:r>
      <w:r>
        <w:rPr>
          <w:rFonts w:hint="eastAsia" w:ascii="仿宋" w:hAnsi="仿宋" w:eastAsia="仿宋" w:cs="仿宋"/>
          <w:b w:val="0"/>
          <w:bCs w:val="0"/>
          <w:color w:val="auto"/>
          <w:spacing w:val="-1"/>
          <w:sz w:val="32"/>
          <w:szCs w:val="32"/>
          <w:lang w:val="en-US" w:eastAsia="zh-CN"/>
        </w:rPr>
        <w:t>十是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对未尽事宜进行了补充说明。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5、营商服务承诺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明确了“区级领导任首席服务官+科级干部任专职联络员”和“企业评价部门服务优劣”的工作制度，积极帮助企业解决问题，提升服务的精细化水平，为企业发展提供良好环境。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6、奖励扶持兑现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明确了扶持奖励资金的兑现条件、兑现办法以及兑现流程。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Chars="0"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701" w:footer="1701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32"/>
                        <w:szCs w:val="48"/>
                      </w:rPr>
                      <w:t xml:space="preserve"> </w:t>
                    </w: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1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081F4D73"/>
    <w:rsid w:val="00B95AE2"/>
    <w:rsid w:val="081F4D73"/>
    <w:rsid w:val="09773C00"/>
    <w:rsid w:val="09F83936"/>
    <w:rsid w:val="0D7F3BC3"/>
    <w:rsid w:val="138A2941"/>
    <w:rsid w:val="15CF53E8"/>
    <w:rsid w:val="1754759A"/>
    <w:rsid w:val="20B671B0"/>
    <w:rsid w:val="258F7D8B"/>
    <w:rsid w:val="25C265E0"/>
    <w:rsid w:val="316A35ED"/>
    <w:rsid w:val="31733C25"/>
    <w:rsid w:val="35086C56"/>
    <w:rsid w:val="356564FB"/>
    <w:rsid w:val="3E915C70"/>
    <w:rsid w:val="438C7940"/>
    <w:rsid w:val="54181E02"/>
    <w:rsid w:val="59016006"/>
    <w:rsid w:val="59B77819"/>
    <w:rsid w:val="5C5721FE"/>
    <w:rsid w:val="5CE818FC"/>
    <w:rsid w:val="666B3245"/>
    <w:rsid w:val="67737683"/>
    <w:rsid w:val="6BF7290A"/>
    <w:rsid w:val="717127DF"/>
    <w:rsid w:val="7F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/>
      <w:szCs w:val="20"/>
      <w:lang w:val="en-GB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880</Characters>
  <Lines>0</Lines>
  <Paragraphs>0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2021-12-17T07:33:00Z</dcterms:created>
  <dc:creator>胡子</dc:creator>
  <cp:lastModifiedBy>Administrator</cp:lastModifiedBy>
  <cp:lastPrinted>2022-02-07T08:36:00Z</cp:lastPrinted>
  <dcterms:modified xsi:type="dcterms:W3CDTF">2023-07-24T08:55:51Z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9C9CB32A52DF43DC8A97480A1B9DD7CC</vt:lpwstr>
  </property>
  <property fmtid="{D5CDD505-2E9C-101B-9397-08002B2CF9AE}" pid="4" name="commondata">
    <vt:lpwstr>eyJoZGlkIjoiZGZkOWQzZGVlZmNmMmZiYjljMTZiMzU3MTZmMzE2NGMifQ==</vt:lpwstr>
  </property>
</Properties>
</file>