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lang w:val="en-US" w:eastAsia="zh-CN"/>
        </w:rPr>
      </w:pPr>
      <w:bookmarkStart w:id="0" w:name="_GoBack"/>
      <w:r>
        <w:rPr>
          <w:rFonts w:hint="eastAsia" w:ascii="方正小标宋简体" w:hAnsi="方正小标宋简体" w:eastAsia="方正小标宋简体" w:cs="方正小标宋简体"/>
          <w:bCs/>
          <w:color w:val="auto"/>
          <w:sz w:val="44"/>
          <w:szCs w:val="44"/>
        </w:rPr>
        <w:t>加强招商引资</w:t>
      </w:r>
      <w:r>
        <w:rPr>
          <w:rFonts w:hint="eastAsia" w:ascii="方正小标宋简体" w:hAnsi="方正小标宋简体" w:eastAsia="方正小标宋简体" w:cs="方正小标宋简体"/>
          <w:bCs/>
          <w:color w:val="auto"/>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企业培育、科技创新</w:t>
      </w:r>
      <w:r>
        <w:rPr>
          <w:rFonts w:hint="eastAsia" w:ascii="方正小标宋简体" w:hAnsi="方正小标宋简体" w:eastAsia="方正小标宋简体" w:cs="方正小标宋简体"/>
          <w:bCs/>
          <w:color w:val="auto"/>
          <w:sz w:val="44"/>
          <w:szCs w:val="44"/>
        </w:rPr>
        <w:t>促进</w:t>
      </w:r>
      <w:r>
        <w:rPr>
          <w:rFonts w:hint="eastAsia" w:ascii="方正小标宋简体" w:hAnsi="方正小标宋简体" w:eastAsia="方正小标宋简体" w:cs="方正小标宋简体"/>
          <w:bCs/>
          <w:color w:val="auto"/>
          <w:sz w:val="44"/>
          <w:szCs w:val="44"/>
          <w:lang w:val="en-US" w:eastAsia="zh-CN"/>
        </w:rPr>
        <w:t>经济</w:t>
      </w:r>
      <w:r>
        <w:rPr>
          <w:rFonts w:hint="eastAsia" w:ascii="方正小标宋简体" w:hAnsi="方正小标宋简体" w:eastAsia="方正小标宋简体" w:cs="方正小标宋简体"/>
          <w:bCs/>
          <w:color w:val="auto"/>
          <w:sz w:val="44"/>
          <w:szCs w:val="44"/>
        </w:rPr>
        <w:t>高质量发展的</w:t>
      </w:r>
      <w:r>
        <w:rPr>
          <w:rFonts w:hint="eastAsia" w:ascii="方正小标宋简体" w:hAnsi="方正小标宋简体" w:eastAsia="方正小标宋简体" w:cs="方正小标宋简体"/>
          <w:bCs/>
          <w:color w:val="auto"/>
          <w:sz w:val="44"/>
          <w:szCs w:val="44"/>
          <w:lang w:val="en-US" w:eastAsia="zh-CN"/>
        </w:rPr>
        <w:t>奖励办法</w:t>
      </w:r>
    </w:p>
    <w:bookmarkEnd w:id="0"/>
    <w:p>
      <w:pPr>
        <w:pStyle w:val="8"/>
        <w:jc w:val="center"/>
        <w:rPr>
          <w:rFonts w:hint="eastAsia" w:ascii="楷体" w:hAnsi="楷体" w:eastAsia="楷体" w:cs="楷体"/>
          <w:lang w:eastAsia="zh-CN"/>
        </w:rPr>
      </w:pPr>
      <w:r>
        <w:rPr>
          <w:rFonts w:hint="eastAsia" w:ascii="楷体" w:hAnsi="楷体" w:eastAsia="楷体" w:cs="楷体"/>
          <w:lang w:eastAsia="zh-CN"/>
        </w:rPr>
        <w:t>（</w:t>
      </w:r>
      <w:r>
        <w:rPr>
          <w:rFonts w:hint="eastAsia" w:ascii="楷体" w:hAnsi="楷体" w:eastAsia="楷体" w:cs="楷体"/>
          <w:lang w:val="en-US" w:eastAsia="zh-CN"/>
        </w:rPr>
        <w:t>征求意见稿</w:t>
      </w:r>
      <w:r>
        <w:rPr>
          <w:rFonts w:hint="eastAsia" w:ascii="楷体" w:hAnsi="楷体" w:eastAsia="楷体" w:cs="楷体"/>
          <w:lang w:eastAsia="zh-CN"/>
        </w:rPr>
        <w:t>）</w:t>
      </w:r>
    </w:p>
    <w:p>
      <w:pPr>
        <w:keepNext w:val="0"/>
        <w:keepLines w:val="0"/>
        <w:pageBreakBefore w:val="0"/>
        <w:kinsoku/>
        <w:wordWrap/>
        <w:overflowPunct w:val="0"/>
        <w:topLinePunct w:val="0"/>
        <w:bidi w:val="0"/>
        <w:adjustRightInd/>
        <w:snapToGrid/>
        <w:spacing w:line="560" w:lineRule="exact"/>
        <w:ind w:firstLine="640" w:firstLineChars="200"/>
        <w:textAlignment w:val="auto"/>
        <w:rPr>
          <w:rFonts w:hAnsi="仿宋_GB2312"/>
          <w:color w:val="000000" w:themeColor="text1"/>
          <w14:textFill>
            <w14:solidFill>
              <w14:schemeClr w14:val="tx1"/>
            </w14:solidFill>
          </w14:textFill>
        </w:rPr>
      </w:pPr>
    </w:p>
    <w:p>
      <w:pPr>
        <w:keepNext w:val="0"/>
        <w:keepLines w:val="0"/>
        <w:pageBreakBefore w:val="0"/>
        <w:kinsoku/>
        <w:wordWrap/>
        <w:overflowPunct w:val="0"/>
        <w:topLinePunct w:val="0"/>
        <w:bidi w:val="0"/>
        <w:adjustRightInd/>
        <w:snapToGrid/>
        <w:spacing w:line="560" w:lineRule="exact"/>
        <w:ind w:firstLine="640" w:firstLineChars="200"/>
        <w:textAlignment w:val="auto"/>
        <w:rPr>
          <w:color w:val="000000" w:themeColor="text1"/>
          <w14:textFill>
            <w14:solidFill>
              <w14:schemeClr w14:val="tx1"/>
            </w14:solidFill>
          </w14:textFill>
        </w:rPr>
      </w:pPr>
      <w:r>
        <w:rPr>
          <w:rFonts w:hAnsi="仿宋_GB2312"/>
          <w:color w:val="000000" w:themeColor="text1"/>
          <w14:textFill>
            <w14:solidFill>
              <w14:schemeClr w14:val="tx1"/>
            </w14:solidFill>
          </w14:textFill>
        </w:rPr>
        <w:t>为深入贯彻</w:t>
      </w:r>
      <w:r>
        <w:rPr>
          <w:rFonts w:hint="eastAsia" w:hAnsi="仿宋_GB2312"/>
          <w:color w:val="000000" w:themeColor="text1"/>
          <w:lang w:val="en-US" w:eastAsia="zh-CN"/>
          <w14:textFill>
            <w14:solidFill>
              <w14:schemeClr w14:val="tx1"/>
            </w14:solidFill>
          </w14:textFill>
        </w:rPr>
        <w:t>区委一届一次全会</w:t>
      </w:r>
      <w:r>
        <w:rPr>
          <w:rFonts w:hAnsi="仿宋_GB2312"/>
          <w:color w:val="000000" w:themeColor="text1"/>
          <w14:textFill>
            <w14:solidFill>
              <w14:schemeClr w14:val="tx1"/>
            </w14:solidFill>
          </w14:textFill>
        </w:rPr>
        <w:t>精神，</w:t>
      </w:r>
      <w:r>
        <w:rPr>
          <w:rFonts w:hint="eastAsia" w:hAnsi="仿宋_GB2312"/>
          <w:color w:val="000000" w:themeColor="text1"/>
          <w:lang w:val="en-US" w:eastAsia="zh-CN"/>
          <w14:textFill>
            <w14:solidFill>
              <w14:schemeClr w14:val="tx1"/>
            </w14:solidFill>
          </w14:textFill>
        </w:rPr>
        <w:t>激励全区市场主体、各级各部门进一步</w:t>
      </w:r>
      <w:r>
        <w:rPr>
          <w:rFonts w:hAnsi="仿宋_GB2312"/>
          <w:color w:val="000000" w:themeColor="text1"/>
          <w14:textFill>
            <w14:solidFill>
              <w14:schemeClr w14:val="tx1"/>
            </w14:solidFill>
          </w14:textFill>
        </w:rPr>
        <w:t>加</w:t>
      </w:r>
      <w:r>
        <w:rPr>
          <w:rFonts w:hint="eastAsia" w:hAnsi="仿宋_GB2312"/>
          <w:color w:val="000000" w:themeColor="text1"/>
          <w:lang w:val="en-US" w:eastAsia="zh-CN"/>
          <w14:textFill>
            <w14:solidFill>
              <w14:schemeClr w14:val="tx1"/>
            </w14:solidFill>
          </w14:textFill>
        </w:rPr>
        <w:t>强</w:t>
      </w:r>
      <w:r>
        <w:rPr>
          <w:rFonts w:hAnsi="仿宋_GB2312"/>
          <w:color w:val="000000" w:themeColor="text1"/>
          <w14:textFill>
            <w14:solidFill>
              <w14:schemeClr w14:val="tx1"/>
            </w14:solidFill>
          </w14:textFill>
        </w:rPr>
        <w:t>招商引资</w:t>
      </w:r>
      <w:r>
        <w:rPr>
          <w:rFonts w:hint="eastAsia" w:hAnsi="仿宋_GB2312"/>
          <w:color w:val="000000" w:themeColor="text1"/>
          <w:lang w:eastAsia="zh-CN"/>
          <w14:textFill>
            <w14:solidFill>
              <w14:schemeClr w14:val="tx1"/>
            </w14:solidFill>
          </w14:textFill>
        </w:rPr>
        <w:t>、</w:t>
      </w:r>
      <w:r>
        <w:rPr>
          <w:rFonts w:hint="eastAsia" w:hAnsi="仿宋_GB2312"/>
          <w:color w:val="000000" w:themeColor="text1"/>
          <w:lang w:val="en-US" w:eastAsia="zh-CN"/>
          <w14:textFill>
            <w14:solidFill>
              <w14:schemeClr w14:val="tx1"/>
            </w14:solidFill>
          </w14:textFill>
        </w:rPr>
        <w:t>企业培育、科技创新</w:t>
      </w:r>
      <w:r>
        <w:rPr>
          <w:rFonts w:hAnsi="仿宋_GB2312"/>
          <w:color w:val="000000" w:themeColor="text1"/>
          <w14:textFill>
            <w14:solidFill>
              <w14:schemeClr w14:val="tx1"/>
            </w14:solidFill>
          </w14:textFill>
        </w:rPr>
        <w:t>，</w:t>
      </w:r>
      <w:r>
        <w:rPr>
          <w:rFonts w:hint="eastAsia" w:hAnsi="仿宋_GB2312"/>
          <w:color w:val="000000" w:themeColor="text1"/>
          <w14:textFill>
            <w14:solidFill>
              <w14:schemeClr w14:val="tx1"/>
            </w14:solidFill>
          </w14:textFill>
        </w:rPr>
        <w:t>加快推动我</w:t>
      </w:r>
      <w:r>
        <w:rPr>
          <w:rFonts w:hint="eastAsia" w:hAnsi="仿宋_GB2312"/>
          <w:color w:val="000000" w:themeColor="text1"/>
          <w:lang w:val="en-US" w:eastAsia="zh-CN"/>
          <w14:textFill>
            <w14:solidFill>
              <w14:schemeClr w14:val="tx1"/>
            </w14:solidFill>
          </w14:textFill>
        </w:rPr>
        <w:t>区</w:t>
      </w:r>
      <w:r>
        <w:rPr>
          <w:rFonts w:hint="eastAsia" w:hAnsi="仿宋_GB2312"/>
          <w:color w:val="000000" w:themeColor="text1"/>
          <w14:textFill>
            <w14:solidFill>
              <w14:schemeClr w14:val="tx1"/>
            </w14:solidFill>
          </w14:textFill>
        </w:rPr>
        <w:t>经济高质量发展，结合我</w:t>
      </w:r>
      <w:r>
        <w:rPr>
          <w:rFonts w:hint="eastAsia" w:hAnsi="仿宋_GB2312"/>
          <w:color w:val="000000" w:themeColor="text1"/>
          <w:lang w:val="en-US" w:eastAsia="zh-CN"/>
          <w14:textFill>
            <w14:solidFill>
              <w14:schemeClr w14:val="tx1"/>
            </w14:solidFill>
          </w14:textFill>
        </w:rPr>
        <w:t>区</w:t>
      </w:r>
      <w:r>
        <w:rPr>
          <w:rFonts w:hint="eastAsia" w:hAnsi="仿宋_GB2312"/>
          <w:color w:val="000000" w:themeColor="text1"/>
          <w14:textFill>
            <w14:solidFill>
              <w14:schemeClr w14:val="tx1"/>
            </w14:solidFill>
          </w14:textFill>
        </w:rPr>
        <w:t>实际，特制定本</w:t>
      </w:r>
      <w:r>
        <w:rPr>
          <w:rFonts w:hint="eastAsia" w:hAnsi="仿宋_GB2312"/>
          <w:color w:val="000000" w:themeColor="text1"/>
          <w:lang w:val="en-US" w:eastAsia="zh-CN"/>
          <w14:textFill>
            <w14:solidFill>
              <w14:schemeClr w14:val="tx1"/>
            </w14:solidFill>
          </w14:textFill>
        </w:rPr>
        <w:t>办法</w:t>
      </w:r>
      <w:r>
        <w:rPr>
          <w:rFonts w:hint="eastAsia" w:hAnsi="仿宋_GB2312"/>
          <w:color w:val="000000" w:themeColor="text1"/>
          <w14:textFill>
            <w14:solidFill>
              <w14:schemeClr w14:val="tx1"/>
            </w14:solidFill>
          </w14:textFill>
        </w:rPr>
        <w:t>。</w:t>
      </w:r>
    </w:p>
    <w:p>
      <w:pPr>
        <w:pStyle w:val="5"/>
        <w:keepNext w:val="0"/>
        <w:keepLines w:val="0"/>
        <w:pageBreakBefore w:val="0"/>
        <w:widowControl/>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val="0"/>
          <w:color w:val="auto"/>
          <w:sz w:val="32"/>
          <w:shd w:val="clear" w:color="auto" w:fill="FFFFFF"/>
          <w:lang w:val="en-US" w:eastAsia="zh-CN"/>
        </w:rPr>
      </w:pPr>
      <w:r>
        <w:rPr>
          <w:rFonts w:hint="eastAsia" w:ascii="黑体" w:hAnsi="黑体" w:eastAsia="黑体" w:cs="黑体"/>
          <w:b w:val="0"/>
          <w:bCs w:val="0"/>
          <w:color w:val="auto"/>
          <w:sz w:val="32"/>
          <w:shd w:val="clear" w:color="auto" w:fill="FFFFFF"/>
          <w:lang w:val="en-US" w:eastAsia="zh-CN"/>
        </w:rPr>
        <w:t>一、项目入驻原则及条件</w:t>
      </w:r>
    </w:p>
    <w:p>
      <w:pPr>
        <w:keepNext w:val="0"/>
        <w:keepLines w:val="0"/>
        <w:pageBreakBefore w:val="0"/>
        <w:kinsoku/>
        <w:wordWrap/>
        <w:overflowPunct w:val="0"/>
        <w:topLinePunct w:val="0"/>
        <w:bidi w:val="0"/>
        <w:adjustRightInd/>
        <w:snapToGrid/>
        <w:spacing w:line="560" w:lineRule="exact"/>
        <w:ind w:firstLine="640" w:firstLineChars="200"/>
        <w:textAlignment w:val="auto"/>
        <w:rPr>
          <w:color w:val="auto"/>
          <w:highlight w:val="none"/>
        </w:rPr>
      </w:pPr>
      <w:r>
        <w:rPr>
          <w:rFonts w:hint="eastAsia" w:hAnsi="仿宋_GB2312" w:cs="仿宋_GB2312"/>
          <w:color w:val="auto"/>
          <w:highlight w:val="none"/>
        </w:rPr>
        <w:t>新上工业或服务业项目均</w:t>
      </w:r>
      <w:r>
        <w:rPr>
          <w:rFonts w:hint="eastAsia" w:hAnsi="仿宋_GB2312" w:cs="仿宋_GB2312"/>
          <w:color w:val="auto"/>
          <w:highlight w:val="none"/>
          <w:lang w:val="en-US" w:eastAsia="zh-CN"/>
        </w:rPr>
        <w:t>须</w:t>
      </w:r>
      <w:r>
        <w:rPr>
          <w:rFonts w:hint="eastAsia" w:hAnsi="仿宋_GB2312" w:cs="仿宋_GB2312"/>
          <w:color w:val="auto"/>
          <w:highlight w:val="none"/>
        </w:rPr>
        <w:t>入驻建安区先进制造业开发区</w:t>
      </w:r>
      <w:r>
        <w:rPr>
          <w:rFonts w:hint="eastAsia" w:hAnsi="仿宋_GB2312" w:cs="仿宋_GB2312"/>
          <w:color w:val="auto"/>
          <w:highlight w:val="none"/>
          <w:lang w:eastAsia="zh-CN"/>
        </w:rPr>
        <w:t>、</w:t>
      </w:r>
      <w:r>
        <w:rPr>
          <w:rFonts w:hint="eastAsia" w:hAnsi="仿宋_GB2312" w:cs="仿宋_GB2312"/>
          <w:color w:val="auto"/>
          <w:highlight w:val="none"/>
        </w:rPr>
        <w:t>灵井特色产业园等园区和平台，园区和平台以外原则上不再单独供地</w:t>
      </w:r>
      <w:r>
        <w:rPr>
          <w:rFonts w:hint="eastAsia" w:hAnsi="仿宋_GB2312" w:cs="仿宋_GB2312"/>
          <w:color w:val="auto"/>
          <w:highlight w:val="none"/>
          <w:lang w:eastAsia="zh-CN"/>
        </w:rPr>
        <w:t>。</w:t>
      </w:r>
      <w:r>
        <w:rPr>
          <w:rFonts w:hint="eastAsia" w:hAnsi="仿宋_GB2312" w:cs="仿宋_GB2312"/>
          <w:color w:val="auto"/>
          <w:highlight w:val="none"/>
        </w:rPr>
        <w:t>入驻</w:t>
      </w:r>
      <w:r>
        <w:rPr>
          <w:rFonts w:hint="eastAsia" w:hAnsi="仿宋_GB2312" w:cs="仿宋_GB2312"/>
          <w:color w:val="auto"/>
          <w:highlight w:val="none"/>
          <w:lang w:val="en-US" w:eastAsia="zh-CN"/>
        </w:rPr>
        <w:t>的</w:t>
      </w:r>
      <w:r>
        <w:rPr>
          <w:rFonts w:hint="eastAsia" w:hAnsi="仿宋_GB2312" w:cs="仿宋_GB2312"/>
          <w:color w:val="auto"/>
          <w:highlight w:val="none"/>
        </w:rPr>
        <w:t>新上生产性项目</w:t>
      </w:r>
      <w:r>
        <w:rPr>
          <w:rFonts w:hint="eastAsia" w:hAnsi="仿宋_GB2312" w:cs="仿宋_GB2312"/>
          <w:color w:val="auto"/>
          <w:highlight w:val="none"/>
          <w:lang w:eastAsia="zh-CN"/>
        </w:rPr>
        <w:t>，</w:t>
      </w:r>
      <w:r>
        <w:rPr>
          <w:rFonts w:hint="eastAsia" w:hAnsi="仿宋_GB2312" w:cs="仿宋_GB2312"/>
          <w:color w:val="auto"/>
          <w:highlight w:val="none"/>
          <w:lang w:val="en-US" w:eastAsia="zh-CN"/>
        </w:rPr>
        <w:t>自建厂房的，</w:t>
      </w:r>
      <w:r>
        <w:rPr>
          <w:rFonts w:hint="eastAsia" w:hAnsi="仿宋_GB2312" w:cs="仿宋_GB2312"/>
          <w:color w:val="auto"/>
          <w:highlight w:val="none"/>
        </w:rPr>
        <w:t>固定资产投资须达到</w:t>
      </w:r>
      <w:r>
        <w:rPr>
          <w:rFonts w:hint="eastAsia" w:cs="仿宋_GB2312"/>
          <w:color w:val="auto"/>
          <w:highlight w:val="none"/>
        </w:rPr>
        <w:t>1</w:t>
      </w:r>
      <w:r>
        <w:rPr>
          <w:rFonts w:hint="eastAsia" w:hAnsi="仿宋_GB2312" w:cs="仿宋_GB2312"/>
          <w:color w:val="auto"/>
          <w:highlight w:val="none"/>
        </w:rPr>
        <w:t>亿元以上，纳税强度每年不低于15万元/亩；入驻标准化厂房的，纳税强度每年不低于</w:t>
      </w:r>
      <w:r>
        <w:rPr>
          <w:rFonts w:hint="eastAsia" w:hAnsi="仿宋_GB2312" w:cs="仿宋_GB2312"/>
          <w:color w:val="auto"/>
          <w:highlight w:val="none"/>
          <w:lang w:val="en-US" w:eastAsia="zh-CN"/>
        </w:rPr>
        <w:t>3</w:t>
      </w:r>
      <w:r>
        <w:rPr>
          <w:rFonts w:hint="eastAsia" w:hAnsi="仿宋_GB2312" w:cs="仿宋_GB2312"/>
          <w:color w:val="auto"/>
          <w:highlight w:val="none"/>
        </w:rPr>
        <w:t>00元/平方米</w:t>
      </w:r>
      <w:r>
        <w:rPr>
          <w:rFonts w:hint="eastAsia" w:hAnsi="仿宋_GB2312" w:cs="仿宋_GB2312"/>
          <w:color w:val="auto"/>
          <w:highlight w:val="none"/>
          <w:lang w:eastAsia="zh-CN"/>
        </w:rPr>
        <w:t>。</w:t>
      </w:r>
      <w:r>
        <w:rPr>
          <w:rFonts w:hint="eastAsia" w:hAnsi="仿宋_GB2312" w:cs="仿宋_GB2312"/>
          <w:color w:val="auto"/>
          <w:highlight w:val="none"/>
          <w:lang w:val="en-US" w:eastAsia="zh-CN"/>
        </w:rPr>
        <w:t>所有</w:t>
      </w:r>
      <w:r>
        <w:rPr>
          <w:rFonts w:hint="eastAsia" w:hAnsi="仿宋_GB2312" w:cs="仿宋_GB2312"/>
          <w:color w:val="auto"/>
          <w:highlight w:val="none"/>
        </w:rPr>
        <w:t>新入驻项目必须在建安区注册独立法人资格，并纳入统计口径管理。</w:t>
      </w:r>
    </w:p>
    <w:p>
      <w:pPr>
        <w:pStyle w:val="5"/>
        <w:keepNext w:val="0"/>
        <w:keepLines w:val="0"/>
        <w:pageBreakBefore w:val="0"/>
        <w:widowControl/>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hint="default" w:ascii="黑体" w:hAnsi="黑体" w:eastAsia="黑体" w:cs="黑体"/>
          <w:b w:val="0"/>
          <w:bCs w:val="0"/>
          <w:color w:val="auto"/>
          <w:sz w:val="32"/>
          <w:shd w:val="clear" w:color="auto" w:fill="FFFFFF"/>
          <w:lang w:val="en-US" w:eastAsia="zh-CN"/>
        </w:rPr>
      </w:pPr>
      <w:r>
        <w:rPr>
          <w:rFonts w:hint="eastAsia" w:ascii="黑体" w:hAnsi="黑体" w:eastAsia="黑体" w:cs="黑体"/>
          <w:b w:val="0"/>
          <w:bCs w:val="0"/>
          <w:color w:val="auto"/>
          <w:sz w:val="32"/>
          <w:shd w:val="clear" w:color="auto" w:fill="FFFFFF"/>
          <w:lang w:val="en-US" w:eastAsia="zh-CN"/>
        </w:rPr>
        <w:t>二、重点招引范围</w:t>
      </w:r>
    </w:p>
    <w:p>
      <w:pPr>
        <w:pStyle w:val="5"/>
        <w:keepNext w:val="0"/>
        <w:keepLines w:val="0"/>
        <w:pageBreakBefore w:val="0"/>
        <w:widowControl/>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hint="default" w:ascii="仿宋" w:hAnsi="仿宋" w:eastAsia="仿宋" w:cs="仿宋"/>
          <w:b w:val="0"/>
          <w:bCs w:val="0"/>
          <w:color w:val="auto"/>
          <w:sz w:val="32"/>
          <w:shd w:val="clear" w:color="auto" w:fill="FFFFFF"/>
          <w:lang w:val="en-US" w:eastAsia="zh-CN"/>
        </w:rPr>
      </w:pPr>
      <w:r>
        <w:rPr>
          <w:rFonts w:hint="eastAsia" w:ascii="仿宋" w:hAnsi="仿宋" w:eastAsia="仿宋" w:cs="仿宋"/>
          <w:b w:val="0"/>
          <w:bCs w:val="0"/>
          <w:color w:val="auto"/>
          <w:sz w:val="32"/>
          <w:shd w:val="clear" w:color="auto" w:fill="FFFFFF"/>
          <w:lang w:val="en-US" w:eastAsia="zh-CN"/>
        </w:rPr>
        <w:t>（一）</w:t>
      </w:r>
      <w:r>
        <w:rPr>
          <w:rFonts w:hint="eastAsia"/>
          <w:color w:val="auto"/>
          <w:sz w:val="32"/>
          <w:shd w:val="clear" w:color="auto" w:fill="FFFFFF"/>
          <w:lang w:val="en-US" w:eastAsia="zh-CN"/>
        </w:rPr>
        <w:t>突出围绕农业现代化、一二三产融合、乡村振兴开展招商。</w:t>
      </w:r>
    </w:p>
    <w:p>
      <w:pPr>
        <w:pStyle w:val="5"/>
        <w:keepNext w:val="0"/>
        <w:keepLines w:val="0"/>
        <w:pageBreakBefore w:val="0"/>
        <w:widowControl/>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hint="eastAsia" w:ascii="仿宋_GB2312" w:hAnsi="仿宋_GB2312" w:cs="仿宋_GB2312"/>
          <w:color w:val="auto"/>
          <w:sz w:val="32"/>
          <w:lang w:val="en-US" w:eastAsia="zh-CN"/>
        </w:rPr>
      </w:pPr>
      <w:r>
        <w:rPr>
          <w:rFonts w:hint="eastAsia" w:ascii="仿宋" w:hAnsi="仿宋" w:eastAsia="仿宋" w:cs="仿宋"/>
          <w:b w:val="0"/>
          <w:bCs w:val="0"/>
          <w:color w:val="auto"/>
          <w:sz w:val="32"/>
          <w:shd w:val="clear" w:color="auto" w:fill="FFFFFF"/>
          <w:lang w:val="en-US" w:eastAsia="zh-CN"/>
        </w:rPr>
        <w:t>（二）</w:t>
      </w:r>
      <w:r>
        <w:rPr>
          <w:rFonts w:hint="eastAsia" w:ascii="仿宋_GB2312" w:hAnsi="仿宋_GB2312" w:cs="仿宋_GB2312"/>
          <w:color w:val="auto"/>
          <w:sz w:val="32"/>
          <w:lang w:val="en-US" w:eastAsia="zh-CN"/>
        </w:rPr>
        <w:t>突出围绕</w:t>
      </w:r>
      <w:r>
        <w:rPr>
          <w:rFonts w:hint="eastAsia" w:ascii="仿宋_GB2312" w:hAnsi="仿宋_GB2312" w:cs="仿宋_GB2312"/>
          <w:color w:val="auto"/>
          <w:sz w:val="32"/>
          <w:lang w:eastAsia="zh-CN"/>
        </w:rPr>
        <w:t>“</w:t>
      </w:r>
      <w:r>
        <w:rPr>
          <w:rFonts w:hint="eastAsia" w:ascii="仿宋_GB2312" w:hAnsi="仿宋_GB2312" w:cs="仿宋_GB2312"/>
          <w:color w:val="auto"/>
          <w:sz w:val="32"/>
          <w:lang w:val="en-US" w:eastAsia="zh-CN"/>
        </w:rPr>
        <w:t>222</w:t>
      </w:r>
      <w:r>
        <w:rPr>
          <w:rFonts w:hint="eastAsia" w:ascii="仿宋_GB2312" w:hAnsi="仿宋_GB2312" w:cs="仿宋_GB2312"/>
          <w:color w:val="auto"/>
          <w:sz w:val="32"/>
          <w:lang w:eastAsia="zh-CN"/>
        </w:rPr>
        <w:t>”</w:t>
      </w:r>
      <w:r>
        <w:rPr>
          <w:rFonts w:hint="eastAsia" w:ascii="仿宋_GB2312" w:hAnsi="仿宋_GB2312" w:cs="仿宋_GB2312"/>
          <w:color w:val="auto"/>
          <w:sz w:val="32"/>
          <w:lang w:val="en-US" w:eastAsia="zh-CN"/>
        </w:rPr>
        <w:t>现代</w:t>
      </w:r>
      <w:r>
        <w:rPr>
          <w:rFonts w:hint="eastAsia" w:ascii="仿宋_GB2312" w:hAnsi="仿宋_GB2312" w:cs="仿宋_GB2312"/>
          <w:color w:val="auto"/>
          <w:sz w:val="32"/>
        </w:rPr>
        <w:t>产业</w:t>
      </w:r>
      <w:r>
        <w:rPr>
          <w:rFonts w:hint="eastAsia" w:ascii="仿宋_GB2312" w:hAnsi="仿宋_GB2312" w:cs="仿宋_GB2312"/>
          <w:color w:val="auto"/>
          <w:sz w:val="32"/>
          <w:lang w:val="en-US" w:eastAsia="zh-CN"/>
        </w:rPr>
        <w:t>体系，即</w:t>
      </w:r>
      <w:r>
        <w:rPr>
          <w:rFonts w:hint="eastAsia" w:ascii="仿宋_GB2312" w:hAnsi="仿宋_GB2312" w:cs="仿宋_GB2312"/>
          <w:color w:val="auto"/>
          <w:sz w:val="32"/>
        </w:rPr>
        <w:t>电子信息、环保装备</w:t>
      </w:r>
      <w:r>
        <w:rPr>
          <w:rFonts w:hint="eastAsia" w:ascii="仿宋_GB2312" w:hAnsi="仿宋_GB2312" w:cs="仿宋_GB2312"/>
          <w:color w:val="auto"/>
          <w:sz w:val="32"/>
          <w:lang w:val="en-US" w:eastAsia="zh-CN"/>
        </w:rPr>
        <w:t>及</w:t>
      </w:r>
      <w:r>
        <w:rPr>
          <w:rFonts w:hint="eastAsia" w:ascii="仿宋_GB2312" w:hAnsi="仿宋_GB2312" w:cs="仿宋_GB2312"/>
          <w:color w:val="auto"/>
          <w:sz w:val="32"/>
        </w:rPr>
        <w:t>服务</w:t>
      </w:r>
      <w:r>
        <w:rPr>
          <w:rFonts w:hint="eastAsia" w:ascii="仿宋_GB2312" w:hAnsi="仿宋_GB2312" w:cs="仿宋_GB2312"/>
          <w:color w:val="auto"/>
          <w:sz w:val="32"/>
          <w:lang w:eastAsia="zh-CN"/>
        </w:rPr>
        <w:t>、</w:t>
      </w:r>
      <w:r>
        <w:rPr>
          <w:rFonts w:hint="eastAsia" w:ascii="仿宋_GB2312" w:hAnsi="仿宋_GB2312" w:cs="仿宋_GB2312"/>
          <w:color w:val="auto"/>
          <w:sz w:val="32"/>
        </w:rPr>
        <w:t>发制品</w:t>
      </w:r>
      <w:r>
        <w:rPr>
          <w:rFonts w:hint="eastAsia" w:ascii="仿宋_GB2312" w:hAnsi="仿宋_GB2312" w:cs="仿宋_GB2312"/>
          <w:color w:val="auto"/>
          <w:sz w:val="32"/>
          <w:lang w:eastAsia="zh-CN"/>
        </w:rPr>
        <w:t>、</w:t>
      </w:r>
      <w:r>
        <w:rPr>
          <w:rFonts w:hint="eastAsia" w:ascii="仿宋_GB2312" w:hAnsi="仿宋_GB2312" w:cs="仿宋_GB2312"/>
          <w:color w:val="auto"/>
          <w:sz w:val="32"/>
        </w:rPr>
        <w:t>汽车零部件及装备制造</w:t>
      </w:r>
      <w:r>
        <w:rPr>
          <w:rFonts w:hint="eastAsia" w:ascii="仿宋_GB2312" w:hAnsi="仿宋_GB2312" w:cs="仿宋_GB2312"/>
          <w:color w:val="auto"/>
          <w:sz w:val="32"/>
          <w:lang w:eastAsia="zh-CN"/>
        </w:rPr>
        <w:t>、</w:t>
      </w:r>
      <w:r>
        <w:rPr>
          <w:rFonts w:hint="eastAsia" w:ascii="仿宋_GB2312" w:hAnsi="仿宋_GB2312" w:cs="仿宋_GB2312"/>
          <w:color w:val="auto"/>
          <w:sz w:val="32"/>
        </w:rPr>
        <w:t>生物医药</w:t>
      </w:r>
      <w:r>
        <w:rPr>
          <w:rFonts w:hint="eastAsia" w:ascii="仿宋_GB2312" w:hAnsi="仿宋_GB2312" w:cs="仿宋_GB2312"/>
          <w:color w:val="auto"/>
          <w:sz w:val="32"/>
          <w:lang w:eastAsia="zh-CN"/>
        </w:rPr>
        <w:t>、</w:t>
      </w:r>
      <w:r>
        <w:rPr>
          <w:rFonts w:hint="eastAsia" w:ascii="仿宋_GB2312" w:hAnsi="仿宋_GB2312" w:cs="仿宋_GB2312"/>
          <w:color w:val="auto"/>
          <w:sz w:val="32"/>
        </w:rPr>
        <w:t>食品加工及包装</w:t>
      </w:r>
      <w:r>
        <w:rPr>
          <w:rFonts w:hint="eastAsia" w:ascii="仿宋_GB2312" w:hAnsi="仿宋_GB2312" w:cs="仿宋_GB2312"/>
          <w:color w:val="auto"/>
          <w:sz w:val="32"/>
          <w:lang w:val="en-US" w:eastAsia="zh-CN"/>
        </w:rPr>
        <w:t>6大</w:t>
      </w:r>
      <w:r>
        <w:rPr>
          <w:rFonts w:hint="eastAsia" w:ascii="仿宋_GB2312" w:hAnsi="仿宋_GB2312" w:cs="仿宋_GB2312"/>
          <w:color w:val="auto"/>
          <w:sz w:val="32"/>
        </w:rPr>
        <w:t>产业集群</w:t>
      </w:r>
      <w:r>
        <w:rPr>
          <w:rFonts w:hint="eastAsia" w:ascii="仿宋_GB2312" w:hAnsi="仿宋_GB2312" w:cs="仿宋_GB2312"/>
          <w:color w:val="auto"/>
          <w:sz w:val="32"/>
          <w:lang w:val="en-US" w:eastAsia="zh-CN"/>
        </w:rPr>
        <w:t>开展招商。</w:t>
      </w:r>
    </w:p>
    <w:p>
      <w:pPr>
        <w:pStyle w:val="5"/>
        <w:keepNext w:val="0"/>
        <w:keepLines w:val="0"/>
        <w:pageBreakBefore w:val="0"/>
        <w:widowControl/>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hint="default" w:ascii="仿宋_GB2312" w:hAnsi="仿宋_GB2312" w:cs="仿宋_GB2312"/>
          <w:color w:val="auto"/>
          <w:sz w:val="32"/>
          <w:lang w:val="en-US" w:eastAsia="zh-CN"/>
        </w:rPr>
      </w:pPr>
      <w:r>
        <w:rPr>
          <w:rFonts w:hint="eastAsia" w:ascii="仿宋_GB2312" w:hAnsi="仿宋_GB2312" w:cs="仿宋_GB2312"/>
          <w:color w:val="auto"/>
          <w:sz w:val="32"/>
          <w:lang w:val="en-US" w:eastAsia="zh-CN"/>
        </w:rPr>
        <w:t>（三）突出围绕许昌出口贸易产业园、国家检验检测公共服务平台、中国（许昌）国际发制品交易市场、多式联运物流港等开放发展平台开展招商引资。</w:t>
      </w:r>
    </w:p>
    <w:p>
      <w:pPr>
        <w:pStyle w:val="5"/>
        <w:keepNext w:val="0"/>
        <w:keepLines w:val="0"/>
        <w:pageBreakBefore w:val="0"/>
        <w:widowControl/>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hint="eastAsia" w:ascii="仿宋_GB2312" w:hAnsi="仿宋_GB2312" w:cs="仿宋_GB2312"/>
          <w:color w:val="auto"/>
          <w:sz w:val="32"/>
          <w:lang w:val="en-US" w:eastAsia="zh-CN"/>
        </w:rPr>
      </w:pPr>
      <w:r>
        <w:rPr>
          <w:rFonts w:hint="eastAsia" w:ascii="仿宋_GB2312" w:hAnsi="仿宋_GB2312" w:cs="仿宋_GB2312"/>
          <w:color w:val="auto"/>
          <w:sz w:val="32"/>
          <w:lang w:val="en-US" w:eastAsia="zh-CN"/>
        </w:rPr>
        <w:t>（四）突出围绕研发设计、咨询服务、金融保险等生产性服务业及酒店餐饮、文化旅游、城市综合体等生活性服务业开展招商。</w:t>
      </w:r>
    </w:p>
    <w:p>
      <w:pPr>
        <w:keepNext w:val="0"/>
        <w:keepLines w:val="0"/>
        <w:pageBreakBefore w:val="0"/>
        <w:kinsoku/>
        <w:wordWrap/>
        <w:overflowPunct w:val="0"/>
        <w:topLinePunct w:val="0"/>
        <w:bidi w:val="0"/>
        <w:adjustRightInd/>
        <w:snapToGrid/>
        <w:spacing w:line="560" w:lineRule="exact"/>
        <w:ind w:firstLine="636" w:firstLineChars="200"/>
        <w:textAlignment w:val="auto"/>
        <w:rPr>
          <w:rFonts w:hint="default" w:ascii="黑体" w:hAnsi="黑体" w:eastAsia="黑体" w:cs="黑体"/>
          <w:color w:val="auto"/>
          <w:spacing w:val="-1"/>
          <w:lang w:val="en-US" w:eastAsia="zh-CN"/>
        </w:rPr>
      </w:pPr>
      <w:r>
        <w:rPr>
          <w:rFonts w:hint="eastAsia" w:ascii="黑体" w:hAnsi="黑体" w:eastAsia="黑体" w:cs="黑体"/>
          <w:color w:val="auto"/>
          <w:spacing w:val="-1"/>
          <w:lang w:val="en-US" w:eastAsia="zh-CN"/>
        </w:rPr>
        <w:t>三、招商引资主体及工作机制</w:t>
      </w:r>
    </w:p>
    <w:p>
      <w:pPr>
        <w:keepNext w:val="0"/>
        <w:keepLines w:val="0"/>
        <w:pageBreakBefore w:val="0"/>
        <w:kinsoku/>
        <w:wordWrap/>
        <w:overflowPunct w:val="0"/>
        <w:topLinePunct w:val="0"/>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坚持区级领导带头</w:t>
      </w:r>
      <w:r>
        <w:rPr>
          <w:rFonts w:hint="eastAsia" w:ascii="仿宋_GB2312" w:hAnsi="仿宋_GB2312" w:cs="仿宋_GB2312"/>
          <w:color w:val="auto"/>
          <w:kern w:val="0"/>
          <w:sz w:val="32"/>
          <w:szCs w:val="32"/>
          <w:lang w:val="en-US" w:eastAsia="zh-CN" w:bidi="ar"/>
        </w:rPr>
        <w:t>，建立</w:t>
      </w:r>
      <w:r>
        <w:rPr>
          <w:rFonts w:hint="eastAsia" w:ascii="仿宋_GB2312" w:hAnsi="仿宋_GB2312" w:eastAsia="仿宋_GB2312" w:cs="仿宋_GB2312"/>
          <w:color w:val="auto"/>
          <w:kern w:val="0"/>
          <w:sz w:val="32"/>
          <w:szCs w:val="32"/>
          <w:lang w:val="en-US" w:eastAsia="zh-CN" w:bidi="ar"/>
        </w:rPr>
        <w:t>乡镇办、园区、区直部门全员</w:t>
      </w:r>
      <w:r>
        <w:rPr>
          <w:rFonts w:hint="eastAsia" w:ascii="仿宋_GB2312" w:hAnsi="仿宋_GB2312" w:cs="仿宋_GB2312"/>
          <w:color w:val="auto"/>
          <w:kern w:val="0"/>
          <w:sz w:val="32"/>
          <w:szCs w:val="32"/>
          <w:lang w:val="en-US" w:eastAsia="zh-CN" w:bidi="ar"/>
        </w:rPr>
        <w:t>招商机制；发挥企业招商主体作用，不断延链、补链、强链，强化以商招商；积极承接产业转移，在粤港澳大湾区、长三角地区、中部发达地区等区域设立招商联络处，</w:t>
      </w:r>
      <w:r>
        <w:rPr>
          <w:rFonts w:hint="eastAsia" w:ascii="仿宋_GB2312" w:hAnsi="仿宋_GB2312" w:eastAsia="仿宋_GB2312" w:cs="仿宋_GB2312"/>
          <w:color w:val="auto"/>
          <w:kern w:val="0"/>
          <w:sz w:val="32"/>
          <w:szCs w:val="32"/>
          <w:lang w:val="en-US" w:eastAsia="zh-CN" w:bidi="ar"/>
        </w:rPr>
        <w:t>多层次、</w:t>
      </w:r>
      <w:r>
        <w:rPr>
          <w:rFonts w:hint="eastAsia" w:ascii="仿宋_GB2312" w:hAnsi="仿宋_GB2312" w:cs="仿宋_GB2312"/>
          <w:color w:val="auto"/>
          <w:kern w:val="0"/>
          <w:sz w:val="32"/>
          <w:szCs w:val="32"/>
          <w:lang w:val="en-US" w:eastAsia="zh-CN" w:bidi="ar"/>
        </w:rPr>
        <w:t>全</w:t>
      </w:r>
      <w:r>
        <w:rPr>
          <w:rFonts w:hint="eastAsia" w:ascii="仿宋_GB2312" w:hAnsi="仿宋_GB2312" w:eastAsia="仿宋_GB2312" w:cs="仿宋_GB2312"/>
          <w:color w:val="auto"/>
          <w:kern w:val="0"/>
          <w:sz w:val="32"/>
          <w:szCs w:val="32"/>
          <w:lang w:val="en-US" w:eastAsia="zh-CN" w:bidi="ar"/>
        </w:rPr>
        <w:t>方位</w:t>
      </w:r>
      <w:r>
        <w:rPr>
          <w:rFonts w:hint="eastAsia" w:ascii="仿宋_GB2312" w:hAnsi="仿宋_GB2312" w:cs="仿宋_GB2312"/>
          <w:color w:val="auto"/>
          <w:kern w:val="0"/>
          <w:sz w:val="32"/>
          <w:szCs w:val="32"/>
          <w:lang w:val="en-US" w:eastAsia="zh-CN" w:bidi="ar"/>
        </w:rPr>
        <w:t>开展驻地招商</w:t>
      </w:r>
      <w:r>
        <w:rPr>
          <w:rFonts w:hint="eastAsia" w:ascii="仿宋_GB2312" w:hAnsi="仿宋_GB2312" w:eastAsia="仿宋_GB2312" w:cs="仿宋_GB2312"/>
          <w:color w:val="auto"/>
          <w:kern w:val="0"/>
          <w:sz w:val="32"/>
          <w:szCs w:val="32"/>
          <w:lang w:val="en-US" w:eastAsia="zh-CN" w:bidi="ar"/>
        </w:rPr>
        <w:t>。</w:t>
      </w:r>
    </w:p>
    <w:p>
      <w:pPr>
        <w:keepNext w:val="0"/>
        <w:keepLines w:val="0"/>
        <w:pageBreakBefore w:val="0"/>
        <w:kinsoku/>
        <w:wordWrap/>
        <w:overflowPunct w:val="0"/>
        <w:topLinePunct w:val="0"/>
        <w:bidi w:val="0"/>
        <w:adjustRightInd/>
        <w:snapToGrid/>
        <w:spacing w:line="560" w:lineRule="exact"/>
        <w:ind w:firstLine="636" w:firstLineChars="200"/>
        <w:textAlignment w:val="auto"/>
        <w:rPr>
          <w:rFonts w:hint="eastAsia" w:ascii="黑体" w:hAnsi="黑体" w:eastAsia="黑体" w:cs="黑体"/>
          <w:color w:val="auto"/>
          <w:spacing w:val="-1"/>
        </w:rPr>
      </w:pPr>
      <w:r>
        <w:rPr>
          <w:rFonts w:hint="eastAsia" w:ascii="黑体" w:hAnsi="黑体" w:eastAsia="黑体" w:cs="黑体"/>
          <w:color w:val="auto"/>
          <w:spacing w:val="-1"/>
          <w:lang w:val="en-US" w:eastAsia="zh-CN"/>
        </w:rPr>
        <w:t>四</w:t>
      </w:r>
      <w:r>
        <w:rPr>
          <w:rFonts w:hint="eastAsia" w:ascii="黑体" w:hAnsi="黑体" w:eastAsia="黑体" w:cs="黑体"/>
          <w:color w:val="auto"/>
          <w:spacing w:val="-1"/>
        </w:rPr>
        <w:t>、扶持</w:t>
      </w:r>
      <w:r>
        <w:rPr>
          <w:rFonts w:hint="eastAsia" w:ascii="黑体" w:hAnsi="黑体" w:eastAsia="黑体" w:cs="黑体"/>
          <w:color w:val="auto"/>
          <w:spacing w:val="-1"/>
          <w:lang w:val="en-US" w:eastAsia="zh-CN"/>
        </w:rPr>
        <w:t>奖励</w:t>
      </w:r>
      <w:r>
        <w:rPr>
          <w:rFonts w:hint="eastAsia" w:ascii="黑体" w:hAnsi="黑体" w:eastAsia="黑体" w:cs="黑体"/>
          <w:color w:val="auto"/>
          <w:spacing w:val="-1"/>
        </w:rPr>
        <w:t>政策</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lang w:eastAsia="zh-CN"/>
        </w:rPr>
      </w:pPr>
      <w:r>
        <w:rPr>
          <w:rFonts w:hint="eastAsia" w:ascii="楷体" w:hAnsi="楷体" w:eastAsia="楷体" w:cs="楷体"/>
          <w:b/>
          <w:bCs/>
          <w:color w:val="auto"/>
          <w:lang w:eastAsia="zh-CN"/>
        </w:rPr>
        <w:t>（一）</w:t>
      </w:r>
      <w:r>
        <w:rPr>
          <w:rFonts w:hint="eastAsia" w:ascii="楷体" w:hAnsi="楷体" w:eastAsia="楷体" w:cs="楷体"/>
          <w:b/>
          <w:bCs/>
          <w:color w:val="auto"/>
          <w:lang w:val="en-US" w:eastAsia="zh-CN"/>
        </w:rPr>
        <w:t>纳税贡献</w:t>
      </w:r>
      <w:r>
        <w:rPr>
          <w:rFonts w:hint="eastAsia" w:ascii="楷体" w:hAnsi="楷体" w:eastAsia="楷体" w:cs="楷体"/>
          <w:b/>
          <w:bCs/>
          <w:color w:val="auto"/>
          <w:lang w:eastAsia="zh-CN"/>
        </w:rPr>
        <w:t>奖励</w:t>
      </w:r>
    </w:p>
    <w:p>
      <w:pPr>
        <w:keepNext w:val="0"/>
        <w:keepLines w:val="0"/>
        <w:pageBreakBefore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hAnsi="仿宋_GB2312" w:cs="仿宋_GB2312"/>
          <w:color w:val="auto"/>
          <w:lang w:val="en-US" w:eastAsia="zh-CN"/>
        </w:rPr>
      </w:pPr>
      <w:r>
        <w:rPr>
          <w:rFonts w:hint="eastAsia" w:hAnsi="仿宋_GB2312" w:cs="仿宋_GB2312"/>
          <w:color w:val="auto"/>
        </w:rPr>
        <w:t>新</w:t>
      </w:r>
      <w:r>
        <w:rPr>
          <w:rFonts w:hint="eastAsia" w:hAnsi="仿宋_GB2312" w:cs="仿宋_GB2312"/>
          <w:color w:val="auto"/>
          <w:lang w:val="en-US" w:eastAsia="zh-CN"/>
        </w:rPr>
        <w:t>入驻</w:t>
      </w:r>
      <w:r>
        <w:rPr>
          <w:rFonts w:hint="eastAsia" w:hAnsi="仿宋_GB2312" w:cs="仿宋_GB2312"/>
          <w:color w:val="auto"/>
        </w:rPr>
        <w:t>项目建成</w:t>
      </w:r>
      <w:r>
        <w:rPr>
          <w:rFonts w:hint="eastAsia" w:hAnsi="仿宋_GB2312" w:cs="仿宋_GB2312"/>
          <w:color w:val="auto"/>
          <w:lang w:val="en-US" w:eastAsia="zh-CN"/>
        </w:rPr>
        <w:t>投产后</w:t>
      </w:r>
      <w:r>
        <w:rPr>
          <w:rFonts w:hint="eastAsia" w:hAnsi="仿宋_GB2312" w:cs="仿宋_GB2312"/>
          <w:color w:val="auto"/>
        </w:rPr>
        <w:t>，</w:t>
      </w:r>
      <w:r>
        <w:rPr>
          <w:rFonts w:hint="eastAsia" w:hAnsi="仿宋_GB2312" w:cs="仿宋_GB2312"/>
          <w:color w:val="auto"/>
          <w:lang w:val="en-US" w:eastAsia="zh-CN"/>
        </w:rPr>
        <w:t>从第二个纳税年度起达到合同约定纳税强度的，开始享受纳税奖励支持政策。①新公司</w:t>
      </w:r>
      <w:r>
        <w:rPr>
          <w:rFonts w:hint="eastAsia" w:hAnsi="仿宋_GB2312" w:cs="仿宋_GB2312"/>
          <w:color w:val="auto"/>
          <w:lang w:eastAsia="zh-CN"/>
        </w:rPr>
        <w:t>年度上缴税收地方留成部分</w:t>
      </w:r>
      <w:r>
        <w:rPr>
          <w:rFonts w:hint="eastAsia" w:hAnsi="仿宋_GB2312" w:cs="仿宋_GB2312"/>
          <w:color w:val="auto"/>
          <w:lang w:val="en-US" w:eastAsia="zh-CN"/>
        </w:rPr>
        <w:t>超过</w:t>
      </w:r>
      <w:r>
        <w:rPr>
          <w:rFonts w:hint="eastAsia" w:hAnsi="仿宋_GB2312" w:cs="仿宋_GB2312"/>
          <w:color w:val="auto"/>
          <w:lang w:eastAsia="zh-CN"/>
        </w:rPr>
        <w:t>500万元的（含</w:t>
      </w:r>
      <w:r>
        <w:rPr>
          <w:rFonts w:hint="eastAsia" w:hAnsi="仿宋_GB2312" w:cs="仿宋_GB2312"/>
          <w:color w:val="auto"/>
          <w:lang w:val="en-US" w:eastAsia="zh-CN"/>
        </w:rPr>
        <w:t>5</w:t>
      </w:r>
      <w:r>
        <w:rPr>
          <w:rFonts w:hint="eastAsia" w:hAnsi="仿宋_GB2312" w:cs="仿宋_GB2312"/>
          <w:color w:val="auto"/>
          <w:lang w:eastAsia="zh-CN"/>
        </w:rPr>
        <w:t>00万元），支持期限</w:t>
      </w:r>
      <w:r>
        <w:rPr>
          <w:rFonts w:hint="eastAsia" w:hAnsi="仿宋_GB2312" w:cs="仿宋_GB2312"/>
          <w:color w:val="auto"/>
          <w:lang w:val="en-US" w:eastAsia="zh-CN"/>
        </w:rPr>
        <w:t>为连续</w:t>
      </w:r>
      <w:r>
        <w:rPr>
          <w:rFonts w:hint="eastAsia" w:hAnsi="仿宋_GB2312" w:cs="仿宋_GB2312"/>
          <w:color w:val="auto"/>
          <w:lang w:eastAsia="zh-CN"/>
        </w:rPr>
        <w:t>5</w:t>
      </w:r>
      <w:r>
        <w:rPr>
          <w:rFonts w:hint="eastAsia" w:hAnsi="仿宋_GB2312" w:cs="仿宋_GB2312"/>
          <w:color w:val="auto"/>
          <w:lang w:val="en-US" w:eastAsia="zh-CN"/>
        </w:rPr>
        <w:t>个年度</w:t>
      </w:r>
      <w:r>
        <w:rPr>
          <w:rFonts w:hint="eastAsia" w:hAnsi="仿宋_GB2312" w:cs="仿宋_GB2312"/>
          <w:color w:val="auto"/>
          <w:lang w:eastAsia="zh-CN"/>
        </w:rPr>
        <w:t>，</w:t>
      </w:r>
      <w:r>
        <w:rPr>
          <w:rFonts w:hint="eastAsia" w:hAnsi="仿宋_GB2312" w:cs="仿宋_GB2312"/>
          <w:color w:val="auto"/>
          <w:lang w:val="en-US" w:eastAsia="zh-CN"/>
        </w:rPr>
        <w:t>合约生效起</w:t>
      </w:r>
      <w:r>
        <w:rPr>
          <w:rFonts w:hint="eastAsia" w:hAnsi="仿宋_GB2312" w:cs="仿宋_GB2312"/>
          <w:color w:val="auto"/>
          <w:lang w:eastAsia="zh-CN"/>
        </w:rPr>
        <w:t>前</w:t>
      </w:r>
      <w:r>
        <w:rPr>
          <w:rFonts w:hint="eastAsia" w:hAnsi="仿宋_GB2312" w:cs="仿宋_GB2312"/>
          <w:color w:val="auto"/>
          <w:lang w:val="en-US" w:eastAsia="zh-CN"/>
        </w:rPr>
        <w:t>2</w:t>
      </w:r>
      <w:r>
        <w:rPr>
          <w:rFonts w:hint="eastAsia" w:hAnsi="仿宋_GB2312" w:cs="仿宋_GB2312"/>
          <w:color w:val="auto"/>
          <w:lang w:eastAsia="zh-CN"/>
        </w:rPr>
        <w:t>年、后</w:t>
      </w:r>
      <w:r>
        <w:rPr>
          <w:rFonts w:hint="eastAsia" w:hAnsi="仿宋_GB2312" w:cs="仿宋_GB2312"/>
          <w:color w:val="auto"/>
          <w:lang w:val="en-US" w:eastAsia="zh-CN"/>
        </w:rPr>
        <w:t>3</w:t>
      </w:r>
      <w:r>
        <w:rPr>
          <w:rFonts w:hint="eastAsia" w:hAnsi="仿宋_GB2312" w:cs="仿宋_GB2312"/>
          <w:color w:val="auto"/>
          <w:lang w:eastAsia="zh-CN"/>
        </w:rPr>
        <w:t>年分别</w:t>
      </w:r>
      <w:r>
        <w:rPr>
          <w:rFonts w:hint="eastAsia" w:hAnsi="仿宋_GB2312" w:cs="仿宋_GB2312"/>
          <w:color w:val="auto"/>
          <w:lang w:val="en-US" w:eastAsia="zh-CN"/>
        </w:rPr>
        <w:t>给予地方留成部分的</w:t>
      </w:r>
      <w:r>
        <w:rPr>
          <w:rFonts w:hint="eastAsia" w:hAnsi="仿宋_GB2312" w:cs="仿宋_GB2312"/>
          <w:color w:val="auto"/>
          <w:lang w:eastAsia="zh-CN"/>
        </w:rPr>
        <w:t>70%、</w:t>
      </w:r>
      <w:r>
        <w:rPr>
          <w:rFonts w:hint="eastAsia" w:hAnsi="仿宋_GB2312" w:cs="仿宋_GB2312"/>
          <w:color w:val="auto"/>
          <w:lang w:val="en-US" w:eastAsia="zh-CN"/>
        </w:rPr>
        <w:t>5</w:t>
      </w:r>
      <w:r>
        <w:rPr>
          <w:rFonts w:hint="eastAsia" w:hAnsi="仿宋_GB2312" w:cs="仿宋_GB2312"/>
          <w:color w:val="auto"/>
          <w:lang w:eastAsia="zh-CN"/>
        </w:rPr>
        <w:t>0%奖励。②</w:t>
      </w:r>
      <w:r>
        <w:rPr>
          <w:rFonts w:hint="eastAsia" w:hAnsi="仿宋_GB2312" w:cs="仿宋_GB2312"/>
          <w:color w:val="auto"/>
          <w:lang w:val="en-US" w:eastAsia="zh-CN"/>
        </w:rPr>
        <w:t>新公司</w:t>
      </w:r>
      <w:r>
        <w:rPr>
          <w:rFonts w:hint="eastAsia" w:hAnsi="仿宋_GB2312" w:cs="仿宋_GB2312"/>
          <w:color w:val="auto"/>
        </w:rPr>
        <w:t>年度上缴税收地方留成部分在200－500万元的（含200万元），</w:t>
      </w:r>
      <w:r>
        <w:rPr>
          <w:rFonts w:hint="eastAsia" w:ascii="仿宋_GB2312" w:hAnsi="仿宋_GB2312" w:eastAsia="仿宋_GB2312" w:cs="仿宋_GB2312"/>
          <w:color w:val="auto"/>
        </w:rPr>
        <w:t>支持期限</w:t>
      </w:r>
      <w:r>
        <w:rPr>
          <w:rFonts w:hint="eastAsia" w:ascii="仿宋_GB2312" w:hAnsi="仿宋_GB2312" w:eastAsia="仿宋_GB2312" w:cs="仿宋_GB2312"/>
          <w:color w:val="auto"/>
          <w:lang w:val="en-US" w:eastAsia="zh-CN"/>
        </w:rPr>
        <w:t>为</w:t>
      </w:r>
      <w:r>
        <w:rPr>
          <w:rFonts w:hint="eastAsia" w:ascii="仿宋_GB2312" w:hAnsi="仿宋_GB2312" w:cs="仿宋_GB2312"/>
          <w:color w:val="auto"/>
          <w:lang w:val="en-US" w:eastAsia="zh-CN"/>
        </w:rPr>
        <w:t>项目合约生效起头</w:t>
      </w:r>
      <w:r>
        <w:rPr>
          <w:rFonts w:hint="eastAsia" w:ascii="仿宋_GB2312" w:hAnsi="仿宋_GB2312" w:eastAsia="仿宋_GB2312" w:cs="仿宋_GB2312"/>
          <w:color w:val="auto"/>
        </w:rPr>
        <w:t>3</w:t>
      </w:r>
      <w:r>
        <w:rPr>
          <w:rFonts w:hint="eastAsia" w:ascii="仿宋_GB2312" w:hAnsi="仿宋_GB2312" w:eastAsia="仿宋_GB2312" w:cs="仿宋_GB2312"/>
          <w:color w:val="auto"/>
          <w:lang w:val="en-US" w:eastAsia="zh-CN"/>
        </w:rPr>
        <w:t>个年度</w:t>
      </w:r>
      <w:r>
        <w:rPr>
          <w:rFonts w:hint="eastAsia" w:hAnsi="仿宋_GB2312" w:cs="仿宋_GB2312"/>
          <w:color w:val="auto"/>
        </w:rPr>
        <w:t>，每年</w:t>
      </w:r>
      <w:r>
        <w:rPr>
          <w:rFonts w:hint="eastAsia" w:hAnsi="仿宋_GB2312" w:cs="仿宋_GB2312"/>
          <w:color w:val="auto"/>
          <w:lang w:val="en-US" w:eastAsia="zh-CN"/>
        </w:rPr>
        <w:t>给予地方留成部分的</w:t>
      </w:r>
      <w:r>
        <w:rPr>
          <w:rFonts w:hint="eastAsia" w:hAnsi="仿宋_GB2312" w:cs="仿宋_GB2312"/>
          <w:color w:val="auto"/>
        </w:rPr>
        <w:t>50%奖励</w:t>
      </w:r>
      <w:r>
        <w:rPr>
          <w:rFonts w:hint="eastAsia" w:hAnsi="仿宋_GB2312" w:cs="仿宋_GB2312"/>
          <w:color w:val="auto"/>
          <w:lang w:eastAsia="zh-CN"/>
        </w:rPr>
        <w:t>。</w:t>
      </w:r>
      <w:r>
        <w:rPr>
          <w:rFonts w:hint="eastAsia" w:hAnsi="仿宋_GB2312" w:cs="仿宋_GB2312"/>
          <w:color w:val="auto"/>
          <w:lang w:val="en-US" w:eastAsia="zh-CN"/>
        </w:rPr>
        <w:t>③新公司在享受纳税奖励支持期限内，达不到合同约定纳税强度的年度不享受纳税贡献奖励政策。</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lang w:eastAsia="zh-CN"/>
        </w:rPr>
      </w:pPr>
      <w:r>
        <w:rPr>
          <w:rFonts w:hint="eastAsia" w:ascii="楷体" w:hAnsi="楷体" w:eastAsia="楷体" w:cs="楷体"/>
          <w:b/>
          <w:bCs/>
          <w:color w:val="auto"/>
          <w:lang w:eastAsia="zh-CN"/>
        </w:rPr>
        <w:t>（</w:t>
      </w:r>
      <w:r>
        <w:rPr>
          <w:rFonts w:hint="eastAsia" w:ascii="楷体" w:hAnsi="楷体" w:eastAsia="楷体" w:cs="楷体"/>
          <w:b/>
          <w:bCs/>
          <w:color w:val="auto"/>
          <w:lang w:val="en-US" w:eastAsia="zh-CN"/>
        </w:rPr>
        <w:t>二）设备</w:t>
      </w:r>
      <w:r>
        <w:rPr>
          <w:rFonts w:hint="eastAsia" w:ascii="楷体" w:hAnsi="楷体" w:eastAsia="楷体" w:cs="楷体"/>
          <w:b/>
          <w:bCs/>
          <w:color w:val="auto"/>
          <w:lang w:eastAsia="zh-CN"/>
        </w:rPr>
        <w:t>补贴</w:t>
      </w:r>
      <w:r>
        <w:rPr>
          <w:rFonts w:hint="eastAsia" w:ascii="楷体" w:hAnsi="楷体" w:eastAsia="楷体" w:cs="楷体"/>
          <w:b/>
          <w:bCs/>
          <w:color w:val="auto"/>
          <w:lang w:val="en-US" w:eastAsia="zh-CN"/>
        </w:rPr>
        <w:t>支持</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default" w:hAnsi="仿宋_GB2312" w:cs="仿宋_GB2312"/>
          <w:color w:val="auto"/>
          <w:lang w:val="en-US" w:eastAsia="zh-CN"/>
        </w:rPr>
      </w:pPr>
      <w:r>
        <w:rPr>
          <w:rFonts w:hint="eastAsia" w:hAnsi="仿宋_GB2312" w:cs="仿宋_GB2312"/>
          <w:color w:val="auto"/>
          <w:lang w:val="en-US" w:eastAsia="zh-CN"/>
        </w:rPr>
        <w:t>新投产项目</w:t>
      </w:r>
      <w:r>
        <w:rPr>
          <w:rFonts w:hint="eastAsia" w:hAnsi="仿宋_GB2312" w:cs="仿宋_GB2312"/>
          <w:color w:val="auto"/>
        </w:rPr>
        <w:t>购置的高端装备制造设备（建设工期不超过两年）</w:t>
      </w:r>
      <w:r>
        <w:rPr>
          <w:rFonts w:hint="eastAsia" w:hAnsi="仿宋_GB2312" w:cs="仿宋_GB2312"/>
          <w:color w:val="auto"/>
          <w:lang w:val="en-US" w:eastAsia="zh-CN"/>
        </w:rPr>
        <w:t>给予设备补贴支持。①设备实际投资总额在</w:t>
      </w:r>
      <w:r>
        <w:rPr>
          <w:rFonts w:hint="eastAsia" w:hAnsi="仿宋_GB2312" w:cs="仿宋_GB2312"/>
          <w:color w:val="auto"/>
        </w:rPr>
        <w:t>1000万元－</w:t>
      </w:r>
      <w:r>
        <w:rPr>
          <w:rFonts w:hint="eastAsia" w:hAnsi="仿宋_GB2312" w:cs="仿宋_GB2312"/>
          <w:color w:val="auto"/>
          <w:lang w:val="en-US" w:eastAsia="zh-CN"/>
        </w:rPr>
        <w:t>5</w:t>
      </w:r>
      <w:r>
        <w:rPr>
          <w:rFonts w:hint="eastAsia" w:hAnsi="仿宋_GB2312" w:cs="仿宋_GB2312"/>
          <w:color w:val="auto"/>
        </w:rPr>
        <w:t>000万元（含</w:t>
      </w:r>
      <w:r>
        <w:rPr>
          <w:rFonts w:hint="eastAsia" w:hAnsi="仿宋_GB2312" w:cs="仿宋_GB2312"/>
          <w:color w:val="auto"/>
          <w:lang w:val="en-US" w:eastAsia="zh-CN"/>
        </w:rPr>
        <w:t>1</w:t>
      </w:r>
      <w:r>
        <w:rPr>
          <w:rFonts w:hint="eastAsia" w:hAnsi="仿宋_GB2312" w:cs="仿宋_GB2312"/>
          <w:color w:val="auto"/>
        </w:rPr>
        <w:t>000万）</w:t>
      </w:r>
      <w:r>
        <w:rPr>
          <w:rFonts w:hint="eastAsia" w:hAnsi="仿宋_GB2312" w:cs="仿宋_GB2312"/>
          <w:color w:val="auto"/>
          <w:lang w:val="en-US" w:eastAsia="zh-CN"/>
        </w:rPr>
        <w:t>的给予</w:t>
      </w:r>
      <w:r>
        <w:rPr>
          <w:rFonts w:hint="eastAsia" w:hAnsi="仿宋_GB2312" w:cs="仿宋_GB2312"/>
          <w:color w:val="auto"/>
        </w:rPr>
        <w:t>6%补贴</w:t>
      </w:r>
      <w:r>
        <w:rPr>
          <w:rFonts w:hint="eastAsia" w:hAnsi="仿宋_GB2312" w:cs="仿宋_GB2312"/>
          <w:color w:val="auto"/>
          <w:lang w:eastAsia="zh-CN"/>
        </w:rPr>
        <w:t>。②</w:t>
      </w:r>
      <w:r>
        <w:rPr>
          <w:rFonts w:hint="eastAsia" w:hAnsi="仿宋_GB2312" w:cs="仿宋_GB2312"/>
          <w:color w:val="auto"/>
          <w:lang w:val="en-US" w:eastAsia="zh-CN"/>
        </w:rPr>
        <w:t>设备实际投资总额在</w:t>
      </w:r>
      <w:r>
        <w:rPr>
          <w:rFonts w:hint="eastAsia" w:hAnsi="仿宋_GB2312" w:cs="仿宋_GB2312"/>
          <w:color w:val="auto"/>
        </w:rPr>
        <w:t>5000万元（含</w:t>
      </w:r>
      <w:r>
        <w:rPr>
          <w:rFonts w:hint="eastAsia" w:hAnsi="仿宋_GB2312" w:cs="仿宋_GB2312"/>
          <w:color w:val="auto"/>
          <w:lang w:val="en-US" w:eastAsia="zh-CN"/>
        </w:rPr>
        <w:t>5</w:t>
      </w:r>
      <w:r>
        <w:rPr>
          <w:rFonts w:hint="eastAsia" w:hAnsi="仿宋_GB2312" w:cs="仿宋_GB2312"/>
          <w:color w:val="auto"/>
        </w:rPr>
        <w:t>000万）</w:t>
      </w:r>
      <w:r>
        <w:rPr>
          <w:rFonts w:hint="eastAsia" w:hAnsi="仿宋_GB2312" w:cs="仿宋_GB2312"/>
          <w:color w:val="auto"/>
          <w:lang w:val="en-US" w:eastAsia="zh-CN"/>
        </w:rPr>
        <w:t>以上的给予</w:t>
      </w:r>
      <w:r>
        <w:rPr>
          <w:rFonts w:hint="eastAsia" w:hAnsi="仿宋_GB2312" w:cs="仿宋_GB2312"/>
          <w:color w:val="auto"/>
        </w:rPr>
        <w:t>10%补贴</w:t>
      </w:r>
      <w:r>
        <w:rPr>
          <w:rFonts w:hint="eastAsia" w:hAnsi="仿宋_GB2312" w:cs="仿宋_GB2312"/>
          <w:color w:val="auto"/>
          <w:lang w:eastAsia="zh-CN"/>
        </w:rPr>
        <w:t>。</w:t>
      </w:r>
      <w:r>
        <w:rPr>
          <w:rFonts w:hint="eastAsia" w:hAnsi="仿宋_GB2312" w:cs="仿宋_GB2312"/>
          <w:color w:val="auto"/>
          <w:lang w:val="en-US" w:eastAsia="zh-CN"/>
        </w:rPr>
        <w:t>③每个项目设备补贴总金额不超过1000万元。</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lang w:eastAsia="zh-CN"/>
        </w:rPr>
      </w:pPr>
      <w:r>
        <w:rPr>
          <w:rFonts w:hint="eastAsia" w:ascii="楷体" w:hAnsi="楷体" w:eastAsia="楷体" w:cs="楷体"/>
          <w:b/>
          <w:bCs/>
          <w:color w:val="auto"/>
          <w:lang w:eastAsia="zh-CN"/>
        </w:rPr>
        <w:t>（</w:t>
      </w:r>
      <w:r>
        <w:rPr>
          <w:rFonts w:hint="eastAsia" w:ascii="楷体" w:hAnsi="楷体" w:eastAsia="楷体" w:cs="楷体"/>
          <w:b/>
          <w:bCs/>
          <w:color w:val="auto"/>
          <w:lang w:val="en-US" w:eastAsia="zh-CN"/>
        </w:rPr>
        <w:t>三）</w:t>
      </w:r>
      <w:r>
        <w:rPr>
          <w:rFonts w:hint="eastAsia" w:ascii="楷体" w:hAnsi="楷体" w:eastAsia="楷体" w:cs="楷体"/>
          <w:b/>
          <w:bCs/>
          <w:color w:val="auto"/>
          <w:lang w:eastAsia="zh-CN"/>
        </w:rPr>
        <w:t>房屋</w:t>
      </w:r>
      <w:r>
        <w:rPr>
          <w:rFonts w:hint="eastAsia" w:ascii="楷体" w:hAnsi="楷体" w:eastAsia="楷体" w:cs="楷体"/>
          <w:b/>
          <w:bCs/>
          <w:color w:val="auto"/>
          <w:lang w:val="en-US" w:eastAsia="zh-CN"/>
        </w:rPr>
        <w:t>租赁补贴</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hAnsi="仿宋_GB2312" w:cs="仿宋_GB2312"/>
          <w:color w:val="auto"/>
          <w:lang w:val="en-US" w:eastAsia="zh-CN"/>
        </w:rPr>
      </w:pPr>
      <w:r>
        <w:rPr>
          <w:rFonts w:hint="eastAsia" w:hAnsi="仿宋_GB2312" w:cs="仿宋_GB2312"/>
          <w:color w:val="auto"/>
          <w:lang w:val="en-US" w:eastAsia="zh-CN"/>
        </w:rPr>
        <w:t>①新入驻项目租赁标准化厂房和办公用房的，采取企业先缴后补的模式，年度上缴税收地方留成部分达到规定纳税强度的，合约生效起前3年租金由区财政补贴企业。②为新入驻企业员工提供的保障性用房，租金每月不高于3元/平方米。</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lang w:eastAsia="zh-CN"/>
        </w:rPr>
      </w:pPr>
      <w:r>
        <w:rPr>
          <w:rFonts w:hint="eastAsia" w:ascii="楷体" w:hAnsi="楷体" w:eastAsia="楷体" w:cs="楷体"/>
          <w:b/>
          <w:bCs/>
          <w:color w:val="auto"/>
          <w:lang w:eastAsia="zh-CN"/>
        </w:rPr>
        <w:t>（</w:t>
      </w:r>
      <w:r>
        <w:rPr>
          <w:rFonts w:hint="eastAsia" w:ascii="楷体" w:hAnsi="楷体" w:eastAsia="楷体" w:cs="楷体"/>
          <w:b/>
          <w:bCs/>
          <w:color w:val="auto"/>
          <w:lang w:val="en-US" w:eastAsia="zh-CN"/>
        </w:rPr>
        <w:t>四）企业</w:t>
      </w:r>
      <w:r>
        <w:rPr>
          <w:rFonts w:hint="eastAsia" w:ascii="楷体" w:hAnsi="楷体" w:eastAsia="楷体" w:cs="楷体"/>
          <w:b/>
          <w:bCs/>
          <w:color w:val="auto"/>
          <w:lang w:eastAsia="zh-CN"/>
        </w:rPr>
        <w:t>培育</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hAnsi="仿宋_GB2312" w:cs="仿宋_GB2312"/>
          <w:color w:val="auto"/>
          <w:lang w:val="en-US" w:eastAsia="zh-CN"/>
        </w:rPr>
      </w:pPr>
      <w:r>
        <w:rPr>
          <w:rFonts w:hint="eastAsia" w:ascii="仿宋" w:hAnsi="仿宋" w:eastAsia="仿宋" w:cs="仿宋"/>
          <w:b/>
          <w:bCs/>
          <w:color w:val="auto"/>
          <w:u w:val="none"/>
          <w:lang w:val="en-US" w:eastAsia="zh-CN"/>
        </w:rPr>
        <w:t>1. “四上”企业。</w:t>
      </w:r>
      <w:r>
        <w:rPr>
          <w:rFonts w:hint="eastAsia" w:hAnsi="仿宋_GB2312" w:cs="仿宋_GB2312"/>
          <w:color w:val="auto"/>
          <w:lang w:val="en-US" w:eastAsia="zh-CN"/>
        </w:rPr>
        <w:t>每新增一家“四上”企业，奖励属地乡镇街道、园区5万元。</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hAnsi="仿宋_GB2312" w:cs="仿宋_GB2312"/>
          <w:color w:val="auto"/>
          <w:highlight w:val="none"/>
          <w:lang w:val="en-US" w:eastAsia="zh-CN"/>
        </w:rPr>
      </w:pPr>
      <w:r>
        <w:rPr>
          <w:rFonts w:hint="eastAsia" w:ascii="仿宋" w:hAnsi="仿宋" w:eastAsia="仿宋" w:cs="仿宋"/>
          <w:b/>
          <w:bCs/>
          <w:color w:val="auto"/>
          <w:u w:val="none"/>
          <w:lang w:val="en-US" w:eastAsia="zh-CN"/>
        </w:rPr>
        <w:t>2. “专精特新”企业。</w:t>
      </w:r>
      <w:r>
        <w:rPr>
          <w:rFonts w:hint="eastAsia" w:hAnsi="仿宋_GB2312" w:cs="仿宋_GB2312"/>
          <w:color w:val="auto"/>
          <w:highlight w:val="none"/>
          <w:lang w:val="en-US" w:eastAsia="zh-CN"/>
        </w:rPr>
        <w:t>对新获批省级认定的“专精特新”中小企业给予一次性奖励10万元。</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hAnsi="仿宋_GB2312" w:cs="仿宋_GB2312"/>
          <w:color w:val="auto"/>
          <w:lang w:val="en-US" w:eastAsia="zh-CN"/>
        </w:rPr>
      </w:pPr>
      <w:r>
        <w:rPr>
          <w:rFonts w:hint="eastAsia" w:ascii="仿宋" w:hAnsi="仿宋" w:eastAsia="仿宋" w:cs="仿宋"/>
          <w:b/>
          <w:bCs/>
          <w:color w:val="auto"/>
          <w:u w:val="none"/>
          <w:lang w:val="en-US" w:eastAsia="zh-CN"/>
        </w:rPr>
        <w:t>3. 企业上市。</w:t>
      </w:r>
      <w:r>
        <w:rPr>
          <w:rFonts w:hint="eastAsia" w:hAnsi="仿宋_GB2312" w:cs="仿宋_GB2312"/>
          <w:color w:val="auto"/>
          <w:lang w:val="en-US" w:eastAsia="zh-CN"/>
        </w:rPr>
        <w:t xml:space="preserve">在境内外主板上市的建安区企业，给予500万元奖励，奖励资金按照上市辅导报备并受理、上报审核材料并受理、成功上市三个阶段发放。在新三板挂牌或入选新三板精选层的，给予200万元奖励。    </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lang w:val="en-US" w:eastAsia="zh-CN"/>
        </w:rPr>
      </w:pPr>
      <w:r>
        <w:rPr>
          <w:rFonts w:hint="eastAsia" w:ascii="楷体" w:hAnsi="楷体" w:eastAsia="楷体" w:cs="楷体"/>
          <w:b/>
          <w:bCs/>
          <w:color w:val="auto"/>
          <w:lang w:val="en-US" w:eastAsia="zh-CN"/>
        </w:rPr>
        <w:t>（五）科技创新扶持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hAnsi="仿宋_GB2312" w:cs="仿宋_GB2312"/>
          <w:color w:val="auto"/>
          <w:lang w:val="en-US" w:eastAsia="zh-CN"/>
        </w:rPr>
      </w:pPr>
      <w:r>
        <w:rPr>
          <w:rFonts w:hint="eastAsia" w:ascii="仿宋" w:hAnsi="仿宋" w:eastAsia="仿宋" w:cs="仿宋"/>
          <w:b/>
          <w:bCs/>
          <w:color w:val="auto"/>
          <w:u w:val="none"/>
          <w:lang w:val="en-US" w:eastAsia="zh-CN"/>
        </w:rPr>
        <w:t>1. 创新主体。</w:t>
      </w:r>
      <w:r>
        <w:rPr>
          <w:rFonts w:hint="eastAsia" w:hAnsi="仿宋_GB2312" w:cs="仿宋_GB2312"/>
          <w:color w:val="auto"/>
          <w:lang w:val="en-US" w:eastAsia="zh-CN"/>
        </w:rPr>
        <w:t>①认定为国家单项冠军示范企业的，给予100万元奖励。</w:t>
      </w:r>
      <w:r>
        <w:rPr>
          <w:rFonts w:hint="eastAsia" w:hAnsi="仿宋_GB2312" w:cs="仿宋_GB2312"/>
          <w:color w:val="auto"/>
          <w:highlight w:val="none"/>
          <w:lang w:val="en-US" w:eastAsia="zh-CN"/>
        </w:rPr>
        <w:t>②认定为国家级创新型企业的，给予30万元奖励。③认定为高新技术企业的，给予10万元奖励</w:t>
      </w:r>
      <w:r>
        <w:rPr>
          <w:rFonts w:hint="eastAsia" w:hAnsi="仿宋_GB2312" w:cs="仿宋_GB2312"/>
          <w:color w:val="auto"/>
          <w:lang w:val="en-US" w:eastAsia="zh-CN"/>
        </w:rPr>
        <w:t>。④对新建立的院士工作站和博士后科研工作（流动）站，给予10万元奖励。⑤认定为省级和市级创新型科技团队的，分别给予10万元、5万元的奖励。</w:t>
      </w:r>
    </w:p>
    <w:p>
      <w:pPr>
        <w:keepNext w:val="0"/>
        <w:keepLines w:val="0"/>
        <w:pageBreakBefore w:val="0"/>
        <w:kinsoku/>
        <w:wordWrap/>
        <w:topLinePunct w:val="0"/>
        <w:autoSpaceDE/>
        <w:autoSpaceDN/>
        <w:bidi w:val="0"/>
        <w:adjustRightInd/>
        <w:snapToGrid/>
        <w:spacing w:line="560" w:lineRule="exact"/>
        <w:ind w:firstLine="643" w:firstLineChars="200"/>
        <w:textAlignment w:val="auto"/>
        <w:rPr>
          <w:color w:val="auto"/>
        </w:rPr>
      </w:pPr>
      <w:r>
        <w:rPr>
          <w:rFonts w:hint="eastAsia" w:ascii="仿宋" w:hAnsi="仿宋" w:eastAsia="仿宋" w:cs="仿宋"/>
          <w:b/>
          <w:bCs/>
          <w:color w:val="auto"/>
          <w:u w:val="none"/>
          <w:lang w:val="en-US" w:eastAsia="zh-CN"/>
        </w:rPr>
        <w:t>2. 创新成果。</w:t>
      </w:r>
      <w:r>
        <w:rPr>
          <w:rFonts w:hint="eastAsia"/>
          <w:color w:val="auto"/>
        </w:rPr>
        <w:t>①</w:t>
      </w:r>
      <w:r>
        <w:rPr>
          <w:rFonts w:hint="eastAsia"/>
          <w:color w:val="auto"/>
          <w:lang w:val="en-US" w:eastAsia="zh-CN"/>
        </w:rPr>
        <w:t>对建安区</w:t>
      </w:r>
      <w:r>
        <w:rPr>
          <w:color w:val="auto"/>
        </w:rPr>
        <w:t>作为第一完成单位获得国家科学技术进步奖项目</w:t>
      </w:r>
      <w:r>
        <w:rPr>
          <w:rFonts w:hint="eastAsia"/>
          <w:color w:val="auto"/>
          <w:lang w:val="en-US" w:eastAsia="zh-CN"/>
        </w:rPr>
        <w:t>的给予奖励</w:t>
      </w:r>
      <w:r>
        <w:rPr>
          <w:color w:val="auto"/>
        </w:rPr>
        <w:t>，一等奖</w:t>
      </w:r>
      <w:r>
        <w:rPr>
          <w:rFonts w:hint="eastAsia"/>
          <w:color w:val="auto"/>
          <w:lang w:val="en-US" w:eastAsia="zh-CN"/>
        </w:rPr>
        <w:t>10</w:t>
      </w:r>
      <w:r>
        <w:rPr>
          <w:color w:val="auto"/>
        </w:rPr>
        <w:t>0万元，二等奖</w:t>
      </w:r>
      <w:r>
        <w:rPr>
          <w:rFonts w:hint="eastAsia"/>
          <w:color w:val="auto"/>
          <w:lang w:val="en-US" w:eastAsia="zh-CN"/>
        </w:rPr>
        <w:t>5</w:t>
      </w:r>
      <w:r>
        <w:rPr>
          <w:color w:val="auto"/>
        </w:rPr>
        <w:t>0万元</w:t>
      </w:r>
      <w:r>
        <w:rPr>
          <w:rFonts w:hint="eastAsia"/>
          <w:color w:val="auto"/>
          <w:lang w:eastAsia="zh-CN"/>
        </w:rPr>
        <w:t>。</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lang w:val="en-US" w:eastAsia="zh-CN"/>
        </w:rPr>
      </w:pPr>
      <w:r>
        <w:rPr>
          <w:rFonts w:hint="eastAsia" w:ascii="楷体" w:hAnsi="楷体" w:eastAsia="楷体" w:cs="楷体"/>
          <w:b/>
          <w:bCs/>
          <w:color w:val="auto"/>
          <w:lang w:val="en-US" w:eastAsia="zh-CN"/>
        </w:rPr>
        <w:t>（六）服务业项目扶持</w:t>
      </w:r>
    </w:p>
    <w:p>
      <w:pPr>
        <w:keepNext w:val="0"/>
        <w:keepLines w:val="0"/>
        <w:pageBreakBefore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1"/>
          <w:lang w:val="en-US" w:eastAsia="zh-CN"/>
        </w:rPr>
      </w:pPr>
      <w:r>
        <w:rPr>
          <w:rFonts w:hint="eastAsia" w:ascii="仿宋_GB2312" w:hAnsi="仿宋_GB2312" w:eastAsia="仿宋_GB2312" w:cs="仿宋_GB2312"/>
          <w:color w:val="auto"/>
          <w:lang w:val="en-US" w:eastAsia="zh-CN"/>
        </w:rPr>
        <w:t>新入驻服务业项目</w:t>
      </w:r>
      <w:r>
        <w:rPr>
          <w:rFonts w:hint="eastAsia" w:ascii="仿宋_GB2312" w:hAnsi="仿宋_GB2312" w:eastAsia="仿宋_GB2312" w:cs="仿宋_GB2312"/>
          <w:color w:val="auto"/>
          <w:spacing w:val="-1"/>
          <w:lang w:val="en-US" w:eastAsia="zh-CN"/>
        </w:rPr>
        <w:t>，</w:t>
      </w:r>
      <w:r>
        <w:rPr>
          <w:rFonts w:hint="eastAsia" w:ascii="仿宋_GB2312" w:hAnsi="仿宋_GB2312" w:eastAsia="仿宋_GB2312" w:cs="仿宋_GB2312"/>
          <w:color w:val="auto"/>
          <w:spacing w:val="-1"/>
        </w:rPr>
        <w:t>自开业经营之日起，享受以下奖励政策：①</w:t>
      </w:r>
      <w:r>
        <w:rPr>
          <w:rFonts w:hint="eastAsia" w:ascii="仿宋_GB2312" w:hAnsi="仿宋_GB2312" w:eastAsia="仿宋_GB2312" w:cs="仿宋_GB2312"/>
          <w:color w:val="auto"/>
          <w:lang w:val="en-US" w:eastAsia="zh-CN"/>
        </w:rPr>
        <w:t>新公司</w:t>
      </w:r>
      <w:r>
        <w:rPr>
          <w:rFonts w:hint="eastAsia" w:ascii="仿宋_GB2312" w:hAnsi="仿宋_GB2312" w:eastAsia="仿宋_GB2312" w:cs="仿宋_GB2312"/>
          <w:color w:val="auto"/>
        </w:rPr>
        <w:t>年度上缴税收地方留成部分在</w:t>
      </w:r>
      <w:r>
        <w:rPr>
          <w:rFonts w:hint="eastAsia" w:ascii="仿宋_GB2312" w:hAnsi="仿宋_GB2312" w:eastAsia="仿宋_GB2312" w:cs="仿宋_GB2312"/>
          <w:color w:val="auto"/>
          <w:spacing w:val="-1"/>
        </w:rPr>
        <w:t>100－200万元（含100万元）的</w:t>
      </w:r>
      <w:r>
        <w:rPr>
          <w:rFonts w:hint="eastAsia" w:ascii="仿宋_GB2312" w:hAnsi="仿宋_GB2312" w:eastAsia="仿宋_GB2312" w:cs="仿宋_GB2312"/>
          <w:color w:val="auto"/>
          <w:spacing w:val="-1"/>
          <w:lang w:eastAsia="zh-CN"/>
        </w:rPr>
        <w:t>，</w:t>
      </w:r>
      <w:r>
        <w:rPr>
          <w:rFonts w:hint="eastAsia" w:ascii="仿宋_GB2312" w:hAnsi="仿宋_GB2312" w:eastAsia="仿宋_GB2312" w:cs="仿宋_GB2312"/>
          <w:color w:val="auto"/>
        </w:rPr>
        <w:t>支持期限</w:t>
      </w:r>
      <w:r>
        <w:rPr>
          <w:rFonts w:hint="eastAsia" w:ascii="仿宋_GB2312" w:hAnsi="仿宋_GB2312" w:eastAsia="仿宋_GB2312" w:cs="仿宋_GB2312"/>
          <w:color w:val="auto"/>
          <w:lang w:val="en-US" w:eastAsia="zh-CN"/>
        </w:rPr>
        <w:t>为</w:t>
      </w:r>
      <w:r>
        <w:rPr>
          <w:rFonts w:hint="eastAsia" w:ascii="仿宋_GB2312" w:hAnsi="仿宋_GB2312" w:cs="仿宋_GB2312"/>
          <w:color w:val="auto"/>
          <w:lang w:val="en-US" w:eastAsia="zh-CN"/>
        </w:rPr>
        <w:t>项目合约生效起头</w:t>
      </w:r>
      <w:r>
        <w:rPr>
          <w:rFonts w:hint="eastAsia" w:ascii="仿宋_GB2312" w:hAnsi="仿宋_GB2312" w:eastAsia="仿宋_GB2312" w:cs="仿宋_GB2312"/>
          <w:color w:val="auto"/>
        </w:rPr>
        <w:t>3</w:t>
      </w:r>
      <w:r>
        <w:rPr>
          <w:rFonts w:hint="eastAsia" w:ascii="仿宋_GB2312" w:hAnsi="仿宋_GB2312" w:eastAsia="仿宋_GB2312" w:cs="仿宋_GB2312"/>
          <w:color w:val="auto"/>
          <w:lang w:val="en-US" w:eastAsia="zh-CN"/>
        </w:rPr>
        <w:t>个年度</w:t>
      </w:r>
      <w:r>
        <w:rPr>
          <w:rFonts w:hint="eastAsia" w:ascii="仿宋_GB2312" w:hAnsi="仿宋_GB2312" w:eastAsia="仿宋_GB2312" w:cs="仿宋_GB2312"/>
          <w:color w:val="auto"/>
        </w:rPr>
        <w:t>，每年拿出</w:t>
      </w:r>
      <w:r>
        <w:rPr>
          <w:rFonts w:hint="eastAsia" w:ascii="仿宋_GB2312" w:hAnsi="仿宋_GB2312" w:cs="仿宋_GB2312"/>
          <w:color w:val="auto"/>
          <w:lang w:val="en-US" w:eastAsia="zh-CN"/>
        </w:rPr>
        <w:t>地方留成部分</w:t>
      </w:r>
      <w:r>
        <w:rPr>
          <w:rFonts w:hint="eastAsia" w:ascii="仿宋_GB2312" w:hAnsi="仿宋_GB2312" w:eastAsia="仿宋_GB2312" w:cs="仿宋_GB2312"/>
          <w:color w:val="auto"/>
        </w:rPr>
        <w:t>的</w:t>
      </w: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rPr>
        <w:t>0%予以奖励</w:t>
      </w:r>
      <w:r>
        <w:rPr>
          <w:rFonts w:hint="eastAsia" w:ascii="仿宋_GB2312" w:hAnsi="仿宋_GB2312" w:eastAsia="仿宋_GB2312" w:cs="仿宋_GB2312"/>
          <w:color w:val="auto"/>
          <w:lang w:eastAsia="zh-CN"/>
        </w:rPr>
        <w:t>；②</w:t>
      </w:r>
      <w:r>
        <w:rPr>
          <w:rFonts w:hint="eastAsia" w:ascii="仿宋_GB2312" w:hAnsi="仿宋_GB2312" w:eastAsia="仿宋_GB2312" w:cs="仿宋_GB2312"/>
          <w:color w:val="auto"/>
          <w:lang w:val="en-US" w:eastAsia="zh-CN"/>
        </w:rPr>
        <w:t>新公司</w:t>
      </w:r>
      <w:r>
        <w:rPr>
          <w:rFonts w:hint="eastAsia" w:ascii="仿宋_GB2312" w:hAnsi="仿宋_GB2312" w:eastAsia="仿宋_GB2312" w:cs="仿宋_GB2312"/>
          <w:color w:val="auto"/>
        </w:rPr>
        <w:t>年度上缴税收地方留成部分</w:t>
      </w:r>
      <w:r>
        <w:rPr>
          <w:rFonts w:hint="eastAsia" w:ascii="仿宋_GB2312" w:hAnsi="仿宋_GB2312" w:eastAsia="仿宋_GB2312" w:cs="仿宋_GB2312"/>
          <w:color w:val="auto"/>
          <w:lang w:val="en-US" w:eastAsia="zh-CN"/>
        </w:rPr>
        <w:t>超过</w:t>
      </w:r>
      <w:r>
        <w:rPr>
          <w:rFonts w:hint="eastAsia" w:ascii="仿宋_GB2312" w:hAnsi="仿宋_GB2312" w:eastAsia="仿宋_GB2312" w:cs="仿宋_GB2312"/>
          <w:color w:val="auto"/>
          <w:spacing w:val="-1"/>
        </w:rPr>
        <w:t>200万元（含</w:t>
      </w:r>
      <w:r>
        <w:rPr>
          <w:rFonts w:hint="eastAsia" w:ascii="仿宋_GB2312" w:hAnsi="仿宋_GB2312" w:eastAsia="仿宋_GB2312" w:cs="仿宋_GB2312"/>
          <w:color w:val="auto"/>
          <w:spacing w:val="-1"/>
          <w:lang w:val="en-US" w:eastAsia="zh-CN"/>
        </w:rPr>
        <w:t>2</w:t>
      </w:r>
      <w:r>
        <w:rPr>
          <w:rFonts w:hint="eastAsia" w:ascii="仿宋_GB2312" w:hAnsi="仿宋_GB2312" w:eastAsia="仿宋_GB2312" w:cs="仿宋_GB2312"/>
          <w:color w:val="auto"/>
          <w:spacing w:val="-1"/>
        </w:rPr>
        <w:t>00万元）的</w:t>
      </w:r>
      <w:r>
        <w:rPr>
          <w:rFonts w:hint="eastAsia" w:ascii="仿宋_GB2312" w:hAnsi="仿宋_GB2312" w:eastAsia="仿宋_GB2312" w:cs="仿宋_GB2312"/>
          <w:color w:val="auto"/>
          <w:spacing w:val="-1"/>
          <w:lang w:val="en-US" w:eastAsia="zh-CN"/>
        </w:rPr>
        <w:t>项目</w:t>
      </w:r>
      <w:r>
        <w:rPr>
          <w:rFonts w:hint="eastAsia" w:ascii="仿宋_GB2312" w:hAnsi="仿宋_GB2312" w:eastAsia="仿宋_GB2312" w:cs="仿宋_GB2312"/>
          <w:color w:val="auto"/>
          <w:spacing w:val="-1"/>
          <w:lang w:eastAsia="zh-CN"/>
        </w:rPr>
        <w:t>，</w:t>
      </w:r>
      <w:r>
        <w:rPr>
          <w:rFonts w:hint="eastAsia" w:ascii="仿宋_GB2312" w:hAnsi="仿宋_GB2312" w:eastAsia="仿宋_GB2312" w:cs="仿宋_GB2312"/>
          <w:color w:val="auto"/>
          <w:spacing w:val="-1"/>
          <w:lang w:val="en-US" w:eastAsia="zh-CN"/>
        </w:rPr>
        <w:t>参照本办法第四款第（一）条“纳税贡献奖励”执行。</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default" w:ascii="楷体" w:hAnsi="楷体" w:eastAsia="楷体" w:cs="楷体"/>
          <w:b/>
          <w:bCs/>
          <w:color w:val="auto"/>
          <w:lang w:val="en-US" w:eastAsia="zh-CN"/>
        </w:rPr>
      </w:pPr>
      <w:r>
        <w:rPr>
          <w:rFonts w:hint="default" w:ascii="楷体" w:hAnsi="楷体" w:eastAsia="楷体" w:cs="楷体"/>
          <w:b/>
          <w:bCs/>
          <w:color w:val="auto"/>
          <w:lang w:val="en-US" w:eastAsia="zh-CN"/>
        </w:rPr>
        <w:t>（七）</w:t>
      </w:r>
      <w:r>
        <w:rPr>
          <w:rFonts w:hint="eastAsia" w:ascii="楷体" w:hAnsi="楷体" w:eastAsia="楷体" w:cs="楷体"/>
          <w:b/>
          <w:bCs/>
          <w:color w:val="auto"/>
          <w:lang w:val="en-US" w:eastAsia="zh-CN"/>
        </w:rPr>
        <w:t>设立新兴产业投资引导基金</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区政府积极参与河南省数字经济、生物医药新材料政府引导基金建设，重点支持新兴产业项目投资</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lang w:val="en-US" w:eastAsia="zh-CN"/>
        </w:rPr>
      </w:pPr>
      <w:r>
        <w:rPr>
          <w:rFonts w:hint="default" w:ascii="楷体" w:hAnsi="楷体" w:eastAsia="楷体" w:cs="楷体"/>
          <w:b/>
          <w:bCs/>
          <w:color w:val="auto"/>
          <w:lang w:val="en-US" w:eastAsia="zh-CN"/>
        </w:rPr>
        <w:t>（</w:t>
      </w:r>
      <w:r>
        <w:rPr>
          <w:rFonts w:hint="eastAsia" w:ascii="楷体" w:hAnsi="楷体" w:eastAsia="楷体" w:cs="楷体"/>
          <w:b/>
          <w:bCs/>
          <w:color w:val="auto"/>
          <w:lang w:val="en-US" w:eastAsia="zh-CN"/>
        </w:rPr>
        <w:t>八</w:t>
      </w:r>
      <w:r>
        <w:rPr>
          <w:rFonts w:hint="default" w:ascii="楷体" w:hAnsi="楷体" w:eastAsia="楷体" w:cs="楷体"/>
          <w:b/>
          <w:bCs/>
          <w:color w:val="auto"/>
          <w:lang w:val="en-US" w:eastAsia="zh-CN"/>
        </w:rPr>
        <w:t>）</w:t>
      </w:r>
      <w:r>
        <w:rPr>
          <w:rFonts w:hint="eastAsia" w:ascii="楷体" w:hAnsi="楷体" w:eastAsia="楷体" w:cs="楷体"/>
          <w:b/>
          <w:bCs/>
          <w:color w:val="auto"/>
          <w:lang w:val="en-US" w:eastAsia="zh-CN"/>
        </w:rPr>
        <w:t>招商贡献奖励</w:t>
      </w:r>
    </w:p>
    <w:p>
      <w:pPr>
        <w:keepNext w:val="0"/>
        <w:keepLines w:val="0"/>
        <w:pageBreakBefore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kern w:val="2"/>
          <w:sz w:val="32"/>
          <w:szCs w:val="32"/>
          <w:lang w:val="en-US" w:eastAsia="zh-CN" w:bidi="ar-SA"/>
        </w:rPr>
        <w:t>鼓励大力开展招商引资，凡成功引进固定资产投资总额超过5000万元以上工业项目或服务业项</w:t>
      </w:r>
      <w:r>
        <w:rPr>
          <w:rFonts w:hint="eastAsia" w:ascii="仿宋_GB2312" w:hAnsi="仿宋_GB2312" w:eastAsia="仿宋_GB2312" w:cs="仿宋_GB2312"/>
          <w:color w:val="auto"/>
        </w:rPr>
        <w:t>目</w:t>
      </w:r>
      <w:r>
        <w:rPr>
          <w:rFonts w:hint="eastAsia" w:ascii="仿宋_GB2312" w:hAnsi="仿宋_GB2312" w:eastAsia="仿宋_GB2312" w:cs="仿宋_GB2312"/>
          <w:color w:val="auto"/>
          <w:lang w:val="en-US" w:eastAsia="zh-CN"/>
        </w:rPr>
        <w:t>的自然人、单位、企业，</w:t>
      </w:r>
      <w:r>
        <w:rPr>
          <w:rFonts w:hint="eastAsia" w:ascii="仿宋_GB2312" w:hAnsi="仿宋_GB2312" w:eastAsia="仿宋_GB2312" w:cs="仿宋_GB2312"/>
          <w:color w:val="auto"/>
        </w:rPr>
        <w:t>按固定资产实际投资总额的5‰给予奖励。在项目开工建设后，</w:t>
      </w:r>
      <w:r>
        <w:rPr>
          <w:rFonts w:hint="eastAsia" w:ascii="仿宋_GB2312" w:hAnsi="仿宋_GB2312" w:cs="仿宋_GB2312"/>
          <w:color w:val="auto"/>
          <w:lang w:val="en-US" w:eastAsia="zh-CN"/>
        </w:rPr>
        <w:t>按照实际投资额</w:t>
      </w:r>
      <w:r>
        <w:rPr>
          <w:rFonts w:hint="eastAsia" w:ascii="仿宋_GB2312" w:hAnsi="仿宋_GB2312" w:eastAsia="仿宋_GB2312" w:cs="仿宋_GB2312"/>
          <w:color w:val="auto"/>
        </w:rPr>
        <w:t>兑现奖励</w:t>
      </w:r>
      <w:r>
        <w:rPr>
          <w:rFonts w:hint="eastAsia" w:ascii="仿宋_GB2312" w:hAnsi="仿宋_GB2312" w:eastAsia="仿宋_GB2312" w:cs="仿宋_GB2312"/>
          <w:color w:val="auto"/>
          <w:lang w:val="en-US" w:eastAsia="zh-CN"/>
        </w:rPr>
        <w:t>资金</w:t>
      </w:r>
      <w:r>
        <w:rPr>
          <w:rFonts w:hint="eastAsia" w:ascii="仿宋_GB2312" w:hAnsi="仿宋_GB2312" w:cs="仿宋_GB2312"/>
          <w:color w:val="auto"/>
          <w:lang w:val="en-US" w:eastAsia="zh-CN"/>
        </w:rPr>
        <w:t>的40%</w:t>
      </w:r>
      <w:r>
        <w:rPr>
          <w:rFonts w:hint="eastAsia" w:ascii="仿宋_GB2312" w:hAnsi="仿宋_GB2312" w:eastAsia="仿宋_GB2312" w:cs="仿宋_GB2312"/>
          <w:color w:val="auto"/>
        </w:rPr>
        <w:t>；项目达到</w:t>
      </w:r>
      <w:r>
        <w:rPr>
          <w:rFonts w:hint="eastAsia" w:ascii="仿宋_GB2312" w:hAnsi="仿宋_GB2312" w:eastAsia="仿宋_GB2312" w:cs="仿宋_GB2312"/>
          <w:color w:val="auto"/>
          <w:lang w:val="en-US" w:eastAsia="zh-CN"/>
        </w:rPr>
        <w:t>合同</w:t>
      </w:r>
      <w:r>
        <w:rPr>
          <w:rFonts w:hint="eastAsia" w:ascii="仿宋_GB2312" w:hAnsi="仿宋_GB2312" w:eastAsia="仿宋_GB2312" w:cs="仿宋_GB2312"/>
          <w:color w:val="auto"/>
        </w:rPr>
        <w:t>约定的竣工投产条件后，兑现剩余奖励</w:t>
      </w:r>
      <w:r>
        <w:rPr>
          <w:rFonts w:hint="eastAsia" w:ascii="仿宋_GB2312" w:hAnsi="仿宋_GB2312" w:eastAsia="仿宋_GB2312" w:cs="仿宋_GB2312"/>
          <w:color w:val="auto"/>
          <w:lang w:val="en-US" w:eastAsia="zh-CN"/>
        </w:rPr>
        <w:t>资金</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每个项目奖励金额不超过100万元。</w:t>
      </w:r>
    </w:p>
    <w:p>
      <w:pPr>
        <w:keepNext w:val="0"/>
        <w:keepLines w:val="0"/>
        <w:pageBreakBefore w:val="0"/>
        <w:kinsoku/>
        <w:wordWrap/>
        <w:overflowPunct w:val="0"/>
        <w:topLinePunct w:val="0"/>
        <w:autoSpaceDE/>
        <w:autoSpaceDN/>
        <w:bidi w:val="0"/>
        <w:adjustRightInd/>
        <w:snapToGrid/>
        <w:spacing w:line="560" w:lineRule="exact"/>
        <w:ind w:firstLine="602" w:firstLineChars="200"/>
        <w:textAlignment w:val="auto"/>
        <w:rPr>
          <w:rFonts w:hint="eastAsia" w:ascii="楷体" w:hAnsi="楷体" w:eastAsia="楷体" w:cs="楷体"/>
          <w:b/>
          <w:bCs/>
          <w:color w:val="auto"/>
          <w:sz w:val="30"/>
          <w:szCs w:val="30"/>
          <w:lang w:val="en-US" w:eastAsia="zh-CN"/>
        </w:rPr>
      </w:pPr>
      <w:r>
        <w:rPr>
          <w:rFonts w:hint="default" w:ascii="楷体" w:hAnsi="楷体" w:eastAsia="楷体" w:cs="楷体"/>
          <w:b/>
          <w:bCs/>
          <w:color w:val="auto"/>
          <w:sz w:val="30"/>
          <w:szCs w:val="30"/>
          <w:lang w:val="en-US" w:eastAsia="zh-CN"/>
        </w:rPr>
        <w:t>（</w:t>
      </w:r>
      <w:r>
        <w:rPr>
          <w:rFonts w:hint="eastAsia" w:ascii="楷体" w:hAnsi="楷体" w:eastAsia="楷体" w:cs="楷体"/>
          <w:b/>
          <w:bCs/>
          <w:color w:val="auto"/>
          <w:sz w:val="30"/>
          <w:szCs w:val="30"/>
          <w:lang w:val="en-US" w:eastAsia="zh-CN"/>
        </w:rPr>
        <w:t>九</w:t>
      </w:r>
      <w:r>
        <w:rPr>
          <w:rFonts w:hint="default" w:ascii="楷体" w:hAnsi="楷体" w:eastAsia="楷体" w:cs="楷体"/>
          <w:b/>
          <w:bCs/>
          <w:color w:val="auto"/>
          <w:sz w:val="30"/>
          <w:szCs w:val="30"/>
          <w:lang w:val="en-US" w:eastAsia="zh-CN"/>
        </w:rPr>
        <w:t>）</w:t>
      </w:r>
      <w:r>
        <w:rPr>
          <w:rFonts w:hint="eastAsia" w:ascii="楷体" w:hAnsi="楷体" w:eastAsia="楷体" w:cs="楷体"/>
          <w:b/>
          <w:bCs/>
          <w:color w:val="auto"/>
          <w:sz w:val="30"/>
          <w:szCs w:val="30"/>
          <w:lang w:val="en-US" w:eastAsia="zh-CN"/>
        </w:rPr>
        <w:t>其他事项</w:t>
      </w:r>
    </w:p>
    <w:p>
      <w:pPr>
        <w:keepNext w:val="0"/>
        <w:keepLines w:val="0"/>
        <w:pageBreakBefore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r>
        <w:rPr>
          <w:rFonts w:hint="eastAsia" w:cs="Times New Roman"/>
          <w:color w:val="auto"/>
          <w:kern w:val="2"/>
          <w:sz w:val="32"/>
          <w:szCs w:val="32"/>
          <w:lang w:val="en-US" w:eastAsia="zh-CN" w:bidi="ar-SA"/>
        </w:rPr>
        <w:t xml:space="preserve"> </w:t>
      </w:r>
      <w:r>
        <w:rPr>
          <w:rFonts w:hint="default" w:ascii="Times New Roman" w:hAnsi="Times New Roman" w:eastAsia="仿宋_GB2312" w:cs="Times New Roman"/>
          <w:color w:val="auto"/>
          <w:kern w:val="2"/>
          <w:sz w:val="32"/>
          <w:szCs w:val="32"/>
          <w:lang w:val="en-US" w:eastAsia="zh-CN" w:bidi="ar-SA"/>
        </w:rPr>
        <w:t>新引进入驻项目享受的各类政策奖励补贴资金总额在政策扶持期间不大于企业上缴税收地方留成部分。</w:t>
      </w:r>
    </w:p>
    <w:p>
      <w:pPr>
        <w:keepNext w:val="0"/>
        <w:keepLines w:val="0"/>
        <w:pageBreakBefore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w:t>
      </w:r>
      <w:r>
        <w:rPr>
          <w:rFonts w:hint="eastAsia" w:cs="Times New Roman"/>
          <w:color w:val="auto"/>
          <w:kern w:val="2"/>
          <w:sz w:val="32"/>
          <w:szCs w:val="32"/>
          <w:lang w:val="en-US" w:eastAsia="zh-CN" w:bidi="ar-SA"/>
        </w:rPr>
        <w:t xml:space="preserve"> </w:t>
      </w:r>
      <w:r>
        <w:rPr>
          <w:rFonts w:hint="default" w:ascii="Times New Roman" w:hAnsi="Times New Roman" w:eastAsia="仿宋_GB2312" w:cs="Times New Roman"/>
          <w:color w:val="auto"/>
          <w:kern w:val="2"/>
          <w:sz w:val="32"/>
          <w:szCs w:val="32"/>
          <w:lang w:val="en-US" w:eastAsia="zh-CN" w:bidi="ar-SA"/>
        </w:rPr>
        <w:t>本</w:t>
      </w:r>
      <w:r>
        <w:rPr>
          <w:rFonts w:hint="eastAsia" w:cs="Times New Roman"/>
          <w:color w:val="auto"/>
          <w:kern w:val="2"/>
          <w:sz w:val="32"/>
          <w:szCs w:val="32"/>
          <w:lang w:val="en-US" w:eastAsia="zh-CN" w:bidi="ar-SA"/>
        </w:rPr>
        <w:t>奖励办法</w:t>
      </w:r>
      <w:r>
        <w:rPr>
          <w:rFonts w:hint="default" w:ascii="Times New Roman" w:hAnsi="Times New Roman" w:eastAsia="仿宋_GB2312" w:cs="Times New Roman"/>
          <w:color w:val="auto"/>
          <w:kern w:val="2"/>
          <w:sz w:val="32"/>
          <w:szCs w:val="32"/>
          <w:lang w:val="en-US" w:eastAsia="zh-CN" w:bidi="ar-SA"/>
        </w:rPr>
        <w:t>中固定资产投资总额包含引进项目摘地、购置设备、地上构建物等费用（以审计结果为准）。</w:t>
      </w:r>
    </w:p>
    <w:p>
      <w:pPr>
        <w:pStyle w:val="8"/>
        <w:keepNext w:val="0"/>
        <w:keepLines w:val="0"/>
        <w:pageBreakBefore w:val="0"/>
        <w:kinsoku/>
        <w:wordWrap/>
        <w:topLinePunct w:val="0"/>
        <w:bidi w:val="0"/>
        <w:adjustRightInd/>
        <w:snapToGrid/>
        <w:spacing w:line="56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kern w:val="2"/>
          <w:sz w:val="32"/>
          <w:szCs w:val="32"/>
          <w:lang w:val="en-US" w:eastAsia="zh-CN" w:bidi="ar-SA"/>
        </w:rPr>
        <w:t>3.</w:t>
      </w:r>
      <w:r>
        <w:rPr>
          <w:rFonts w:hint="eastAsia" w:cs="Times New Roman"/>
          <w:color w:val="auto"/>
          <w:kern w:val="2"/>
          <w:sz w:val="32"/>
          <w:szCs w:val="32"/>
          <w:lang w:val="en-US" w:eastAsia="zh-CN" w:bidi="ar-SA"/>
        </w:rPr>
        <w:t xml:space="preserve"> </w:t>
      </w:r>
      <w:r>
        <w:rPr>
          <w:rFonts w:hint="default" w:ascii="Times New Roman" w:hAnsi="Times New Roman" w:eastAsia="仿宋_GB2312" w:cs="Times New Roman"/>
          <w:color w:val="auto"/>
          <w:kern w:val="2"/>
          <w:sz w:val="32"/>
          <w:szCs w:val="32"/>
          <w:lang w:val="en-US" w:eastAsia="zh-CN" w:bidi="ar-SA"/>
        </w:rPr>
        <w:t>对园区内一般性企业投资项目推行工业用地“标准地＋承诺制”模式，实现“拿地即开工”、“入驻即生产”，确保优质项目尽快落地，缩短审批环节，降低企业成本。</w:t>
      </w:r>
    </w:p>
    <w:p>
      <w:pPr>
        <w:keepNext w:val="0"/>
        <w:keepLines w:val="0"/>
        <w:pageBreakBefore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w:t>
      </w:r>
      <w:r>
        <w:rPr>
          <w:rFonts w:hint="eastAsia" w:cs="Times New Roman"/>
          <w:color w:val="auto"/>
          <w:kern w:val="2"/>
          <w:sz w:val="32"/>
          <w:szCs w:val="32"/>
          <w:lang w:val="en-US" w:eastAsia="zh-CN" w:bidi="ar-SA"/>
        </w:rPr>
        <w:t xml:space="preserve"> </w:t>
      </w:r>
      <w:r>
        <w:rPr>
          <w:rFonts w:hint="default" w:ascii="Times New Roman" w:hAnsi="Times New Roman" w:eastAsia="仿宋_GB2312" w:cs="Times New Roman"/>
          <w:color w:val="auto"/>
          <w:kern w:val="2"/>
          <w:sz w:val="32"/>
          <w:szCs w:val="32"/>
          <w:lang w:val="en-US" w:eastAsia="zh-CN" w:bidi="ar-SA"/>
        </w:rPr>
        <w:t>重大招商引资项目采取“一事一议”</w:t>
      </w:r>
      <w:r>
        <w:rPr>
          <w:rFonts w:hint="eastAsia" w:cs="Times New Roman"/>
          <w:color w:val="auto"/>
          <w:kern w:val="2"/>
          <w:sz w:val="32"/>
          <w:szCs w:val="32"/>
          <w:lang w:val="en-US" w:eastAsia="zh-CN" w:bidi="ar-SA"/>
        </w:rPr>
        <w:t>的方式</w:t>
      </w:r>
      <w:r>
        <w:rPr>
          <w:rFonts w:hint="default" w:ascii="Times New Roman" w:hAnsi="Times New Roman" w:eastAsia="仿宋_GB2312" w:cs="Times New Roman"/>
          <w:color w:val="auto"/>
          <w:kern w:val="2"/>
          <w:sz w:val="32"/>
          <w:szCs w:val="32"/>
          <w:lang w:val="en-US" w:eastAsia="zh-CN" w:bidi="ar-SA"/>
        </w:rPr>
        <w:t>约定相关政策。</w:t>
      </w:r>
    </w:p>
    <w:p>
      <w:pPr>
        <w:pStyle w:val="8"/>
        <w:rPr>
          <w:rFonts w:hint="default" w:ascii="Times New Roman" w:hAnsi="Times New Roman" w:eastAsia="仿宋_GB2312" w:cs="Times New Roman"/>
          <w:lang w:val="en-US" w:eastAsia="zh-CN"/>
        </w:rPr>
      </w:pPr>
      <w:r>
        <w:rPr>
          <w:rFonts w:hint="default" w:ascii="Times New Roman" w:hAnsi="Times New Roman" w:eastAsia="仿宋_GB2312" w:cs="Times New Roman"/>
          <w:color w:val="auto"/>
          <w:kern w:val="2"/>
          <w:sz w:val="32"/>
          <w:szCs w:val="32"/>
          <w:lang w:val="en-US" w:eastAsia="zh-CN" w:bidi="ar-SA"/>
        </w:rPr>
        <w:t>5.</w:t>
      </w:r>
      <w:r>
        <w:rPr>
          <w:rFonts w:hint="eastAsia" w:cs="Times New Roman"/>
          <w:color w:val="auto"/>
          <w:kern w:val="2"/>
          <w:sz w:val="32"/>
          <w:szCs w:val="32"/>
          <w:lang w:val="en-US" w:eastAsia="zh-CN" w:bidi="ar-SA"/>
        </w:rPr>
        <w:t xml:space="preserve"> </w:t>
      </w:r>
      <w:r>
        <w:rPr>
          <w:rFonts w:hint="default" w:ascii="Times New Roman" w:hAnsi="Times New Roman" w:eastAsia="仿宋_GB2312" w:cs="Times New Roman"/>
          <w:color w:val="auto"/>
          <w:kern w:val="2"/>
          <w:sz w:val="32"/>
          <w:szCs w:val="32"/>
          <w:lang w:val="en-US" w:eastAsia="zh-CN" w:bidi="ar-SA"/>
        </w:rPr>
        <w:t>各开放发展平台可在此基础上制定更完善、更有针对性的招商政策细则，经区委、区政府研究后实施。</w:t>
      </w:r>
    </w:p>
    <w:p>
      <w:pPr>
        <w:pStyle w:val="5"/>
        <w:keepNext w:val="0"/>
        <w:keepLines w:val="0"/>
        <w:pageBreakBefore w:val="0"/>
        <w:widowControl/>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hint="default" w:ascii="黑体" w:hAnsi="黑体" w:eastAsia="黑体" w:cs="黑体"/>
          <w:color w:val="auto"/>
          <w:sz w:val="32"/>
          <w:shd w:val="clear" w:color="auto" w:fill="FFFFFF"/>
          <w:lang w:val="en-US" w:eastAsia="zh-CN"/>
        </w:rPr>
      </w:pPr>
      <w:r>
        <w:rPr>
          <w:rFonts w:hint="eastAsia" w:ascii="黑体" w:hAnsi="黑体" w:eastAsia="黑体" w:cs="黑体"/>
          <w:color w:val="auto"/>
          <w:sz w:val="32"/>
          <w:shd w:val="clear" w:color="auto" w:fill="FFFFFF"/>
          <w:lang w:val="en-US" w:eastAsia="zh-CN"/>
        </w:rPr>
        <w:t>五</w:t>
      </w:r>
      <w:r>
        <w:rPr>
          <w:rFonts w:hint="eastAsia" w:ascii="黑体" w:hAnsi="黑体" w:eastAsia="黑体" w:cs="黑体"/>
          <w:color w:val="auto"/>
          <w:sz w:val="32"/>
          <w:shd w:val="clear" w:color="auto" w:fill="FFFFFF"/>
        </w:rPr>
        <w:t>、</w:t>
      </w:r>
      <w:r>
        <w:rPr>
          <w:rFonts w:hint="eastAsia" w:ascii="黑体" w:hAnsi="黑体" w:eastAsia="黑体" w:cs="黑体"/>
          <w:color w:val="auto"/>
          <w:sz w:val="32"/>
          <w:shd w:val="clear" w:color="auto" w:fill="FFFFFF"/>
          <w:lang w:val="en-US" w:eastAsia="zh-CN"/>
        </w:rPr>
        <w:t>营商服务承诺</w:t>
      </w: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hd w:val="clear" w:color="auto" w:fill="FFFFFF"/>
          <w:lang w:val="en-US" w:eastAsia="zh-CN"/>
        </w:rPr>
      </w:pPr>
      <w:r>
        <w:rPr>
          <w:rFonts w:hint="eastAsia" w:ascii="仿宋_GB2312" w:hAnsi="仿宋_GB2312" w:eastAsia="仿宋_GB2312" w:cs="仿宋_GB2312"/>
          <w:color w:val="auto"/>
          <w:highlight w:val="none"/>
          <w:lang w:val="en-US" w:eastAsia="zh-CN"/>
        </w:rPr>
        <w:t>建立“区级领导任首席服务官+科级干部任专职联络员”的制度，按照“政府做好围墙外的事，企业做好围墙内的事”的原则，积极帮助企业谋划思路，解决问题。同时，建立“企业评价部门服务优劣”制度，对职能部门营商环境分季度给予评价，提升服务的精细化水平，为</w:t>
      </w:r>
      <w:r>
        <w:rPr>
          <w:rFonts w:hint="eastAsia" w:ascii="仿宋_GB2312" w:hAnsi="仿宋_GB2312" w:eastAsia="仿宋_GB2312" w:cs="仿宋_GB2312"/>
          <w:color w:val="auto"/>
          <w:highlight w:val="none"/>
        </w:rPr>
        <w:t>企业</w:t>
      </w:r>
      <w:r>
        <w:rPr>
          <w:rFonts w:hint="eastAsia" w:ascii="仿宋_GB2312" w:hAnsi="仿宋_GB2312" w:eastAsia="仿宋_GB2312" w:cs="仿宋_GB2312"/>
          <w:color w:val="auto"/>
          <w:highlight w:val="none"/>
          <w:lang w:val="en-US" w:eastAsia="zh-CN"/>
        </w:rPr>
        <w:t>发展</w:t>
      </w:r>
      <w:r>
        <w:rPr>
          <w:rFonts w:hint="eastAsia" w:ascii="仿宋_GB2312" w:hAnsi="仿宋_GB2312" w:eastAsia="仿宋_GB2312" w:cs="仿宋_GB2312"/>
          <w:color w:val="auto"/>
          <w:highlight w:val="none"/>
        </w:rPr>
        <w:t>提供良好环境</w:t>
      </w:r>
      <w:r>
        <w:rPr>
          <w:rFonts w:hint="eastAsia" w:ascii="仿宋_GB2312" w:hAnsi="仿宋_GB2312" w:eastAsia="仿宋_GB2312" w:cs="仿宋_GB2312"/>
          <w:color w:val="auto"/>
          <w:highlight w:val="none"/>
          <w:lang w:eastAsia="zh-CN"/>
        </w:rPr>
        <w:t>。</w:t>
      </w:r>
    </w:p>
    <w:p>
      <w:pPr>
        <w:pStyle w:val="5"/>
        <w:keepNext w:val="0"/>
        <w:keepLines w:val="0"/>
        <w:pageBreakBefore w:val="0"/>
        <w:widowControl/>
        <w:shd w:val="clear" w:color="auto" w:fill="FFFFFF"/>
        <w:kinsoku/>
        <w:wordWrap/>
        <w:topLinePunct w:val="0"/>
        <w:bidi w:val="0"/>
        <w:adjustRightInd/>
        <w:snapToGrid/>
        <w:spacing w:before="0" w:beforeAutospacing="0" w:after="0" w:afterAutospacing="0" w:line="560" w:lineRule="exact"/>
        <w:ind w:firstLine="640" w:firstLineChars="200"/>
        <w:textAlignment w:val="auto"/>
        <w:rPr>
          <w:rFonts w:hint="default" w:ascii="黑体" w:hAnsi="黑体" w:eastAsia="黑体" w:cs="黑体"/>
          <w:color w:val="auto"/>
          <w:sz w:val="32"/>
          <w:shd w:val="clear" w:color="auto" w:fill="FFFFFF"/>
          <w:lang w:val="en-US" w:eastAsia="zh-CN"/>
        </w:rPr>
      </w:pPr>
      <w:r>
        <w:rPr>
          <w:rFonts w:hint="eastAsia" w:ascii="黑体" w:hAnsi="黑体" w:eastAsia="黑体" w:cs="黑体"/>
          <w:color w:val="auto"/>
          <w:sz w:val="32"/>
          <w:shd w:val="clear" w:color="auto" w:fill="FFFFFF"/>
          <w:lang w:val="en-US" w:eastAsia="zh-CN"/>
        </w:rPr>
        <w:t>六、奖励扶持兑现</w:t>
      </w:r>
    </w:p>
    <w:p>
      <w:pPr>
        <w:keepNext w:val="0"/>
        <w:keepLines w:val="0"/>
        <w:pageBreakBefore w:val="0"/>
        <w:kinsoku/>
        <w:wordWrap/>
        <w:topLinePunct w:val="0"/>
        <w:bidi w:val="0"/>
        <w:adjustRightInd/>
        <w:snapToGrid/>
        <w:spacing w:line="560" w:lineRule="exact"/>
        <w:ind w:firstLine="640" w:firstLineChars="200"/>
        <w:textAlignment w:val="auto"/>
        <w:rPr>
          <w:rFonts w:hint="default"/>
          <w:color w:val="auto"/>
          <w:lang w:val="en-US" w:eastAsia="zh-CN"/>
        </w:rPr>
      </w:pPr>
      <w:r>
        <w:rPr>
          <w:rFonts w:hint="eastAsia"/>
          <w:color w:val="auto"/>
          <w:lang w:val="en-US" w:eastAsia="zh-CN"/>
        </w:rPr>
        <w:t>所有扶持奖励资金原则上按年度予以兑现，由符合条件的企业提出申请，并承诺从第一次获得本办法制定的扶持奖励起十年内不将工商、税务登记迁出建安区，否则自愿退还全部扶持奖励资金并支付期间相应的利息。所在辖区乡镇（办）、园区管委会负责初核申报，区对外开放工作领导小组办公室牵头，组织区财政、税务、审计、发改、商务、科工、监察等相关部门审核验收，出具意见后提交区政府研究兑现。</w:t>
      </w:r>
    </w:p>
    <w:p>
      <w:pPr>
        <w:pStyle w:val="8"/>
        <w:rPr>
          <w:rFonts w:hint="eastAsia"/>
          <w:color w:val="auto"/>
        </w:rPr>
      </w:pPr>
      <w:r>
        <w:rPr>
          <w:rFonts w:hint="eastAsia"/>
          <w:color w:val="auto"/>
        </w:rPr>
        <w:t>本</w:t>
      </w:r>
      <w:r>
        <w:rPr>
          <w:rFonts w:hint="eastAsia"/>
          <w:color w:val="auto"/>
          <w:lang w:val="en-US" w:eastAsia="zh-CN"/>
        </w:rPr>
        <w:t>办法</w:t>
      </w:r>
      <w:r>
        <w:rPr>
          <w:rFonts w:hint="eastAsia"/>
          <w:color w:val="auto"/>
        </w:rPr>
        <w:t>由区政府办、发改委、商务局</w:t>
      </w:r>
      <w:r>
        <w:rPr>
          <w:rFonts w:hint="eastAsia"/>
          <w:color w:val="auto"/>
          <w:lang w:eastAsia="zh-CN"/>
        </w:rPr>
        <w:t>、</w:t>
      </w:r>
      <w:r>
        <w:rPr>
          <w:rFonts w:hint="eastAsia"/>
          <w:color w:val="auto"/>
          <w:lang w:val="en-US" w:eastAsia="zh-CN"/>
        </w:rPr>
        <w:t>科工局</w:t>
      </w:r>
      <w:r>
        <w:rPr>
          <w:rFonts w:hint="eastAsia"/>
          <w:color w:val="auto"/>
        </w:rPr>
        <w:t>负责解释，自正式发文之日起执行，本</w:t>
      </w:r>
      <w:r>
        <w:rPr>
          <w:rFonts w:hint="eastAsia"/>
          <w:color w:val="auto"/>
          <w:lang w:val="en-US" w:eastAsia="zh-CN"/>
        </w:rPr>
        <w:t>办法</w:t>
      </w:r>
      <w:r>
        <w:rPr>
          <w:rFonts w:hint="eastAsia"/>
          <w:color w:val="auto"/>
        </w:rPr>
        <w:t>有效期三年。</w:t>
      </w:r>
    </w:p>
    <w:p>
      <w:pPr>
        <w:bidi w:val="0"/>
        <w:rPr>
          <w:rFonts w:hint="default"/>
          <w:lang w:val="en-US" w:eastAsia="zh-CN"/>
        </w:rPr>
      </w:pPr>
    </w:p>
    <w:p/>
    <w:sectPr>
      <w:footerReference r:id="rId3" w:type="default"/>
      <w:pgSz w:w="11906" w:h="16838"/>
      <w:pgMar w:top="1984"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3"/>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MTUyMWIzZjJmMjc2MGEzNTNjM2JlODBiZWM2ZTYifQ=="/>
  </w:docVars>
  <w:rsids>
    <w:rsidRoot w:val="70C65267"/>
    <w:rsid w:val="70C65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unhideWhenUsed/>
    <w:qFormat/>
    <w:uiPriority w:val="99"/>
    <w:pPr>
      <w:widowControl/>
      <w:numPr>
        <w:ilvl w:val="0"/>
        <w:numId w:val="1"/>
      </w:numPr>
      <w:spacing w:beforeLines="50" w:line="336" w:lineRule="auto"/>
      <w:ind w:left="0" w:firstLine="0"/>
    </w:pPr>
    <w:rPr>
      <w:rFonts w:ascii="Times New Roman" w:hAnsi="Times New Roman" w:eastAsia="黑体"/>
      <w:szCs w:val="20"/>
      <w:lang w:val="en-GB"/>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2470</Words>
  <Characters>2555</Characters>
  <Lines>0</Lines>
  <Paragraphs>0</Paragraphs>
  <TotalTime>0</TotalTime>
  <ScaleCrop>false</ScaleCrop>
  <LinksUpToDate>false</LinksUpToDate>
  <CharactersWithSpaces>2569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2023-07-24T09:13:00Z</dcterms:created>
  <dc:creator>Administrator</dc:creator>
  <cp:lastModifiedBy>Administrator</cp:lastModifiedBy>
  <dcterms:modified xsi:type="dcterms:W3CDTF">2023-07-24T09:13:32Z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CAEF3C20856148BC9D15EACBDF1A7AF8_11</vt:lpwstr>
  </property>
</Properties>
</file>