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8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z w:val="44"/>
          <w:szCs w:val="44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关于开展2023年秋季开学专项督导工作的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通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知</w:t>
      </w:r>
    </w:p>
    <w:bookmarkEnd w:id="0"/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各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乡镇中心学校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局属各学校、幼儿园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：</w:t>
      </w:r>
    </w:p>
    <w:p>
      <w:pPr>
        <w:pStyle w:val="1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04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80"/>
          <w:position w:val="0"/>
          <w:sz w:val="32"/>
          <w:szCs w:val="32"/>
        </w:rPr>
        <w:t>2023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年秋季开学在即，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为进一步加强全区中小学校教育教学管理，规范办学行为和学校安全工作，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确保秋季新学期各项工作顺利进行，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教体局将组织人员对各学校开学工作进行专项督导检查。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现将有关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事项通知如下，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一、督导范围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全区各级各类学校（含民办学校及幼儿园）。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、督导内容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各学校要按照《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2023年秋季开学专项督导检查表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党建、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开学保障、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教育教学管理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、学校安全、“双减”工作、食品安全、心理健康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学校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自查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各学校对照附件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内容，全面开展开学工作自查自评，对一般性问题要立即整改，重大问题及时报告主管单位。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（二）实地督导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教体局成立由局领导带队的局督导组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要求开展实地督导。一是指导学校全面梳理排查各项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开学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保障情况；二是重点督导学校安全工作，确保工作到位，消除校园安全隐患。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instrText xml:space="preserve"> HYPERLINK "mailto:%EF%BC%88%E4%B8%89%EF%BC%89%E6%97%B6%E9%97%B4%E8%A6%81%E6%B1%82%E3%80%829%E6%9C%882%E6%97%A5%E5%89%8D%EF%BC%8C%E5%AD%A6%E6%A0%A1%E5%AE%8C%E6%88%90%E8%87%AA%E6%9F%A5%E8%87%AA%E8%AF%84%E5%B7%A5%E4%BD%9C%E3%80%82%E5%B8%82%E7%9B%B4%E5%B1%9E%E5%AD%A6%E6%A0%A1%EF%BC%88%E5%90%AB%E6%B0%91%E5%8A%9E%EF%BC%89%E3%80%81%E6%B2%B3%E5%A4%A7%E9%99%84%E4%B8%AD%E8%87%AA%E8%AF%84%E8%A1%A8%E7%94%B5%E5%AD%90%E7%89%88%E6%8A%A5%E5%B8%82%E6%95%99%E4%BD%93%E5%B1%80%E7%9D%A3%E5%AF%BC%E5%AE%A4%EF%BC%9B9%E6%9C%889%E6%97%A5%E5%89%8D%EF%BC%8C%E5%B8%82%E5%8E%BF%E6%95%99%E8%82%B2%E8%A1%8C%E6%94%BF%E9%83%A8%E9%97%A8%E5%AE%8C%E6%88%90%E5%AF%B9%E6%89%80%E5%B1%9E%E5%AD%A6%E6%A0%A1%E7%9A%84%E5%AE%9E%E5%9C%B0%E7%9D%A3%E5%AF%BC%E6%A3%80%E6%9F%A5%EF%BC%8C%E5%90%84%E5%8E%BF%E5%8C%BA%E5%BC%80%E5%AD%A6%E4%B8%93%E9%A1%B9%E7%9D%A3%E5%AF%BC%E6%A3%80%E6%9F%A5%E5%B7%A5%E4%BD%9C%E6%8A%A5%E5%91%8A%E7%94%B5%E5%AD%90%E7%89%88%E6%8A%A5%E9%80%81%E5%B8%82%E6%95%99%E4%BD%93%E5%B1%80%E7%9D%A3%E5%AF%BC%E5%AE%A4%E3%80%82%E5%B8%82%E6%95%99%E4%BD%93%E5%B1%80%E7%9D%A3%E5%AF%BC%E5%AE%A4%E9%82%AE%E7%AE%B1kfdds@163.com%E3%80%82" </w:instrTex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fldChar w:fldCharType="separate"/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（三）时间安排及材料报送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日，局督导组要完成随访督导，根据附件对各乡镇（抽取3-5所学校）、局属学校的工作开展情况进行督导，并撰写督导报告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各督导组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日前将督导报告交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督导室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同时，督导组没有督导的学校（民办学校及幼儿园），由乡镇中心学校督导，督导材料及督导报告（中心校长签字并盖章）于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9月10日前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报教体局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B502房间备案。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2023年秋季开学专项督导检查表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32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年秋季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开学专项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督导分工表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32" w:firstLineChars="200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32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ind w:firstLine="632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2023年8月24日</w:t>
      </w: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5056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建安区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2023年秋季开学专项督导检查表</w:t>
      </w:r>
    </w:p>
    <w:tbl>
      <w:tblPr>
        <w:tblStyle w:val="10"/>
        <w:tblpPr w:leftFromText="180" w:rightFromText="180" w:vertAnchor="text" w:horzAnchor="page" w:tblpX="1477" w:tblpY="623"/>
        <w:tblOverlap w:val="never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7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6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检查内容</w:t>
            </w:r>
          </w:p>
        </w:tc>
        <w:tc>
          <w:tcPr>
            <w:tcW w:w="73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督导检查要点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党建工作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有党员活动室，按照六有标准规范阵地建设：有场所、有设施、有标志、有党旗、有书报、有制度。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“党建+”活动开展情况，查看活动方案、图片、总结等材料。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开学保障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师生是否按时返校，各种教学、生活设施设备进行检修维护，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校园环境整洁美观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学校管理规范，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科学制定课程表和作息时间表，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各项制度齐全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教师队伍是否稳定，是否存在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违规聘用编外教职工，是否存在“吃空饷”现象。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是否制定本单位中小学高级以上教师管理细则，是否存在未达到岗位工作量标准的教职工。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学校是否存在大班额现象，大班额化解情况。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是否存“在人籍分离”现象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是否制定控辍保学方案，是否建立失学、辍学劝返工作台账。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是否制定问题学生管理办法、是否建立问题学生档案。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是否制定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做好学生心理健康教育和管理的“五个一”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 w:bidi="ar"/>
              </w:rPr>
              <w:t>是否建立健全规范收费公示动态管理机制。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是否有家庭教育专兼职指导教师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安全工作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9"/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4"/>
                <w:szCs w:val="24"/>
                <w:lang w:eastAsia="zh-CN" w:bidi="ar"/>
              </w:rPr>
              <w:t>是否集中开展一次校园安全隐患排查整治活动。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是否配备持证专职保安人员、配备必备安保器械、一键报警装置是否安装到位、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视频监控是否学校全覆盖且存储期达到90天、校门口是否有合格的“防冲撞设施”。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开学前是否与“护学岗”干警联系，加强开学时的交通管理。</w:t>
            </w:r>
            <w:r>
              <w:rPr>
                <w:rStyle w:val="19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20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bidi="ar"/>
              </w:rPr>
              <w:t>学校领导带班制度、学生宿舍管理制度、教师查寝记录、</w:t>
            </w:r>
            <w:r>
              <w:rPr>
                <w:rStyle w:val="21"/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 xml:space="preserve">以及小学生、幼儿接送等安全管理制度是否健全。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学校建筑物、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食堂、校舍、厕所、水电暖等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设备、设施等是否进行全方位安全排查，对排查的安全隐患是否制定台账并进行整改。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重点消除消防隐患。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  <w:t>学校信访稳定情况，是否建立信访稳定排查台账，矛盾纠纷排查化解情况。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是否制定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食堂物资定点采购和索证、登记制度及饭菜留验和记录制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制定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燃气、电器等安全排查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制度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val="en-US" w:eastAsia="zh-CN"/>
              </w:rPr>
              <w:t>师德师风建设</w:t>
            </w: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是否制定有本学校《师德师风提升年活动实施方案》。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vAlign w:val="center"/>
          </w:tcPr>
          <w:p>
            <w:pPr>
              <w:pStyle w:val="2"/>
              <w:ind w:left="0" w:leftChars="0" w:right="0" w:rightChars="0" w:firstLine="0" w:firstLineChars="0"/>
              <w:rPr>
                <w:color w:val="auto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学校师德师风建设工作领导小组和分工是否明确，学校师德师风各项制度是否健全。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610" w:type="dxa"/>
            <w:vMerge w:val="continue"/>
            <w:vAlign w:val="center"/>
          </w:tcPr>
          <w:p>
            <w:pPr>
              <w:pStyle w:val="2"/>
              <w:ind w:left="0" w:leftChars="0" w:right="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</w:p>
        </w:tc>
        <w:tc>
          <w:tcPr>
            <w:tcW w:w="738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是否在开学前组织召开全校师德师风教育大会。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10" w:type="dxa"/>
            <w:vMerge w:val="continue"/>
            <w:vAlign w:val="center"/>
          </w:tcPr>
          <w:p>
            <w:pPr>
              <w:pStyle w:val="2"/>
              <w:ind w:left="0" w:leftChars="0" w:right="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</w:p>
        </w:tc>
        <w:tc>
          <w:tcPr>
            <w:tcW w:w="73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  <w:t>开学前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是否组织开展教师培训或师德师风培训学习活动。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10" w:type="dxa"/>
            <w:vMerge w:val="continue"/>
            <w:vAlign w:val="center"/>
          </w:tcPr>
          <w:p>
            <w:pPr>
              <w:pStyle w:val="2"/>
              <w:ind w:left="0" w:leftChars="0" w:right="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</w:p>
        </w:tc>
        <w:tc>
          <w:tcPr>
            <w:tcW w:w="73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after="0" w:afterLines="0" w:afterAutospacing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是否组织全体教职工学习《许昌市建安区教体系统师德师风建设读本》。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610" w:type="dxa"/>
            <w:vMerge w:val="continue"/>
            <w:vAlign w:val="center"/>
          </w:tcPr>
          <w:p>
            <w:pPr>
              <w:pStyle w:val="2"/>
              <w:ind w:left="0" w:leftChars="0" w:right="0" w:rightChars="0" w:firstLine="0" w:firstLineChars="0"/>
              <w:rPr>
                <w:rFonts w:hint="default"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</w:p>
        </w:tc>
        <w:tc>
          <w:tcPr>
            <w:tcW w:w="7389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是否组织全体教职工签订师德师风承诺书。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教学常规管理</w:t>
            </w:r>
          </w:p>
        </w:tc>
        <w:tc>
          <w:tcPr>
            <w:tcW w:w="738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是否制定学校教育教学工作计划、校本研修规划和各学科组校本研修实施方案。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6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0"/>
                <w:szCs w:val="30"/>
              </w:rPr>
            </w:pPr>
          </w:p>
        </w:tc>
        <w:tc>
          <w:tcPr>
            <w:tcW w:w="738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是否制定各学科学期工作计划。学科教研活动是否有固定的时间、地点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有中心发言人、有记录、总结、反思。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6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黑体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</w:rPr>
              <w:t>“双减”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及五项管理</w:t>
            </w:r>
          </w:p>
        </w:tc>
        <w:tc>
          <w:tcPr>
            <w:tcW w:w="7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32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小学上课时间是否不早于8：20；是否制定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五项管理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制度，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是否让学生到指定书店购买教辅资料，是否强制或变相强制学生购买课外读物；学校是否制定作业管理办法、严控书面作业总量，各学科作业统筹是否有专人负责。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6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pacing w:val="0"/>
                <w:w w:val="100"/>
                <w:position w:val="0"/>
                <w:sz w:val="30"/>
                <w:szCs w:val="30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lang w:eastAsia="zh-CN"/>
              </w:rPr>
              <w:t>心理健康</w:t>
            </w:r>
          </w:p>
        </w:tc>
        <w:tc>
          <w:tcPr>
            <w:tcW w:w="7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建立以校长为第一责任人的心理危机干预领导小组和危机干预机制；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建有符合标准的心理辅导室,是否配备有专兼职心理健康教育教师；是否将心理健康教育课程列入课程计划，每学年不少于12节，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是否将心理健康教育与各学科进行融合，五育并举促进心理健康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；是否组织开展学生心理健康教育问题排查，健全和完善中小学生全员心理健康档案；是否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开展家校社协同育人活动。</w:t>
            </w:r>
          </w:p>
        </w:tc>
      </w:tr>
    </w:tbl>
    <w:p>
      <w:pPr>
        <w:spacing w:line="580" w:lineRule="exact"/>
        <w:jc w:val="both"/>
        <w:rPr>
          <w:rFonts w:ascii="黑体" w:hAnsi="黑体" w:eastAsia="黑体" w:cs="仿宋"/>
          <w:bCs/>
          <w:color w:val="000000"/>
          <w:sz w:val="36"/>
          <w:szCs w:val="36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"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line="580" w:lineRule="exact"/>
        <w:ind w:firstLine="872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年秋季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开学专项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督导分工表</w:t>
      </w:r>
    </w:p>
    <w:tbl>
      <w:tblPr>
        <w:tblStyle w:val="9"/>
        <w:tblW w:w="8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240"/>
        <w:gridCol w:w="3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68" w:type="dxa"/>
            <w:noWrap w:val="0"/>
            <w:vAlign w:val="center"/>
          </w:tcPr>
          <w:p>
            <w:pPr>
              <w:pStyle w:val="2"/>
              <w:spacing w:after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带队领导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2"/>
              <w:spacing w:after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责任股室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2"/>
              <w:spacing w:after="0" w:line="5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  <w:lang w:eastAsia="zh-CN"/>
              </w:rPr>
              <w:t>分包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2"/>
                <w:szCs w:val="32"/>
              </w:rPr>
              <w:t>乡校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薛建立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18"/>
              <w:spacing w:after="0" w:afterAutospacing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组织工作和思想政治股、主体责任办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  <w:t>张潘镇、五女店镇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区三髙、区直民办学校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马军伟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pStyle w:val="18"/>
              <w:spacing w:after="0" w:afterAutospacing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人事股、体育卫生艺术股、业余体校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小召乡、陈曹乡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实验中学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杨  准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安全管理股、教育体育项目管理股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蒋李集镇、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区二高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新区实验学校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秦  芳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经费中心、资助中心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桂村乡、灵井镇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区一高、建安中学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周华锋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基础教育股、基础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教育股（职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教）、招生办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榆林乡、龙泉街小学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区职专、潩水路小学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实验幼儿园</w:t>
            </w:r>
          </w:p>
          <w:p>
            <w:pPr>
              <w:pStyle w:val="18"/>
              <w:spacing w:after="0"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潩水路小学附属幼儿园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孔爱敏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教育督导办公室、办公室、秘书股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河街乡、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魏风路小学</w:t>
            </w:r>
          </w:p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永宁街中学、椹涧乡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段献伟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家校合作服务中心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艾庄乡、永宁街小学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杨  燕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财务股、青少年健康成长活动中心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after="0" w:line="240" w:lineRule="auto"/>
              <w:ind w:firstLine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苏桥镇、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魏风路中学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26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庞玉琪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教研室、师训股、电教中心</w:t>
            </w:r>
          </w:p>
        </w:tc>
        <w:tc>
          <w:tcPr>
            <w:tcW w:w="3470" w:type="dxa"/>
            <w:noWrap w:val="0"/>
            <w:vAlign w:val="center"/>
          </w:tcPr>
          <w:p>
            <w:pPr>
              <w:pStyle w:val="18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将官池镇、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镜水路小学、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教师进修学校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5" w:type="default"/>
      <w:pgSz w:w="11906" w:h="16838"/>
      <w:pgMar w:top="2098" w:right="1474" w:bottom="1984" w:left="1587" w:header="1701" w:footer="1701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ZjY3NmIyMTEzMTZhYTVkODE4YTMxN2U1ZGEwMzcifQ=="/>
  </w:docVars>
  <w:rsids>
    <w:rsidRoot w:val="00D31D50"/>
    <w:rsid w:val="00323B43"/>
    <w:rsid w:val="003D37D8"/>
    <w:rsid w:val="00426133"/>
    <w:rsid w:val="004358AB"/>
    <w:rsid w:val="0058490C"/>
    <w:rsid w:val="007721B6"/>
    <w:rsid w:val="008B7726"/>
    <w:rsid w:val="00924D28"/>
    <w:rsid w:val="00984066"/>
    <w:rsid w:val="009A4D94"/>
    <w:rsid w:val="00C11081"/>
    <w:rsid w:val="00D31D50"/>
    <w:rsid w:val="00F26BB2"/>
    <w:rsid w:val="00FD3E89"/>
    <w:rsid w:val="04B826F9"/>
    <w:rsid w:val="05A41D69"/>
    <w:rsid w:val="0B530E2A"/>
    <w:rsid w:val="0E520CD9"/>
    <w:rsid w:val="11832ADE"/>
    <w:rsid w:val="1A145B3D"/>
    <w:rsid w:val="1A9710E6"/>
    <w:rsid w:val="1E63300C"/>
    <w:rsid w:val="24DF5B6A"/>
    <w:rsid w:val="27A76CA0"/>
    <w:rsid w:val="28C001E2"/>
    <w:rsid w:val="29FF056A"/>
    <w:rsid w:val="2CE62DC3"/>
    <w:rsid w:val="2DDD2EC7"/>
    <w:rsid w:val="3A1A562D"/>
    <w:rsid w:val="3A8F27DD"/>
    <w:rsid w:val="3ADC4345"/>
    <w:rsid w:val="3E4A73C3"/>
    <w:rsid w:val="40002765"/>
    <w:rsid w:val="450A5401"/>
    <w:rsid w:val="45367E7E"/>
    <w:rsid w:val="4A2E6FEA"/>
    <w:rsid w:val="4AD84C3D"/>
    <w:rsid w:val="4B030421"/>
    <w:rsid w:val="4B6B7671"/>
    <w:rsid w:val="4E66084A"/>
    <w:rsid w:val="500052BD"/>
    <w:rsid w:val="512E3B7D"/>
    <w:rsid w:val="535F39A3"/>
    <w:rsid w:val="591A5BFD"/>
    <w:rsid w:val="5AFB12F8"/>
    <w:rsid w:val="65916158"/>
    <w:rsid w:val="697170B5"/>
    <w:rsid w:val="6BC00A2A"/>
    <w:rsid w:val="6E4E533B"/>
    <w:rsid w:val="73274430"/>
    <w:rsid w:val="77873940"/>
    <w:rsid w:val="7831277E"/>
    <w:rsid w:val="7DBC18FA"/>
    <w:rsid w:val="7F1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qFormat/>
    <w:uiPriority w:val="99"/>
    <w:pPr>
      <w:spacing w:after="120" w:line="360" w:lineRule="auto"/>
      <w:ind w:left="420" w:leftChars="200" w:firstLine="200" w:firstLineChars="200"/>
    </w:pPr>
    <w:rPr>
      <w:rFonts w:ascii="Verdana" w:hAnsi="Verdana"/>
      <w:sz w:val="24"/>
      <w:szCs w:val="28"/>
    </w:rPr>
  </w:style>
  <w:style w:type="paragraph" w:styleId="5">
    <w:name w:val="envelope return"/>
    <w:basedOn w:val="1"/>
    <w:qFormat/>
    <w:uiPriority w:val="0"/>
    <w:pPr>
      <w:snapToGrid w:val="0"/>
      <w:spacing w:line="360" w:lineRule="auto"/>
      <w:ind w:firstLine="200" w:firstLineChars="200"/>
    </w:pPr>
    <w:rPr>
      <w:rFonts w:ascii="Arial" w:hAnsi="Arial" w:eastAsia="仿宋_GB2312" w:cs="Arial"/>
      <w:sz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paragraph" w:customStyle="1" w:styleId="13">
    <w:name w:val="BodyText"/>
    <w:basedOn w:val="1"/>
    <w:qFormat/>
    <w:uiPriority w:val="0"/>
    <w:pPr>
      <w:widowControl/>
      <w:snapToGrid w:val="0"/>
      <w:spacing w:after="120"/>
      <w:textAlignment w:val="baseline"/>
    </w:pPr>
  </w:style>
  <w:style w:type="character" w:customStyle="1" w:styleId="14">
    <w:name w:val="NormalCharacter"/>
    <w:qFormat/>
    <w:uiPriority w:val="0"/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15">
    <w:name w:val="列出段落111"/>
    <w:basedOn w:val="1"/>
    <w:qFormat/>
    <w:uiPriority w:val="99"/>
    <w:pPr>
      <w:spacing w:before="48"/>
      <w:ind w:firstLine="420" w:firstLineChars="200"/>
    </w:pPr>
    <w:rPr>
      <w:rFonts w:ascii="Times New Roman" w:hAnsi="Times New Roman"/>
      <w:kern w:val="0"/>
      <w:sz w:val="20"/>
      <w:szCs w:val="24"/>
    </w:rPr>
  </w:style>
  <w:style w:type="paragraph" w:customStyle="1" w:styleId="16">
    <w:name w:val="列出段落1"/>
    <w:basedOn w:val="1"/>
    <w:qFormat/>
    <w:uiPriority w:val="99"/>
    <w:pPr>
      <w:spacing w:line="540" w:lineRule="exact"/>
      <w:ind w:firstLine="420" w:firstLineChars="200"/>
    </w:pPr>
    <w:rPr>
      <w:rFonts w:ascii="仿宋_GB2312" w:hAnsi="仿宋_GB2312" w:eastAsia="仿宋_GB2312"/>
      <w:color w:val="000000"/>
      <w:sz w:val="32"/>
      <w:szCs w:val="32"/>
    </w:rPr>
  </w:style>
  <w:style w:type="paragraph" w:customStyle="1" w:styleId="17">
    <w:name w:val="Table Paragraph"/>
    <w:basedOn w:val="1"/>
    <w:qFormat/>
    <w:uiPriority w:val="1"/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9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eastAsia" w:ascii="仿宋" w:hAnsi="仿宋" w:eastAsia="仿宋" w:cs="仿宋"/>
      <w:b/>
      <w:bCs/>
      <w:color w:val="F79646"/>
      <w:sz w:val="22"/>
      <w:szCs w:val="22"/>
      <w:u w:val="none"/>
    </w:rPr>
  </w:style>
  <w:style w:type="character" w:customStyle="1" w:styleId="21">
    <w:name w:val="font0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615</Characters>
  <Lines>4</Lines>
  <Paragraphs>1</Paragraphs>
  <TotalTime>20</TotalTime>
  <ScaleCrop>false</ScaleCrop>
  <LinksUpToDate>false</LinksUpToDate>
  <CharactersWithSpaces>615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2023-08-25T07:41:36Z</cp:lastPrinted>
  <dcterms:modified xsi:type="dcterms:W3CDTF">2023-08-25T07:44:09Z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56AB14AF957F4DDDAD87C1F99CB867E9</vt:lpwstr>
  </property>
</Properties>
</file>