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附件2：（样表）</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调整的行政职权事项目录</w:t>
      </w:r>
    </w:p>
    <w:p>
      <w:pPr>
        <w:rPr>
          <w:rFonts w:hint="eastAsia"/>
        </w:rPr>
      </w:pPr>
    </w:p>
    <w:tbl>
      <w:tblPr>
        <w:tblStyle w:val="2"/>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
        <w:gridCol w:w="4813"/>
        <w:gridCol w:w="1060"/>
        <w:gridCol w:w="957"/>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68" w:type="dxa"/>
            <w:shd w:val="clear" w:color="auto" w:fill="auto"/>
            <w:noWrap w:val="0"/>
            <w:vAlign w:val="center"/>
          </w:tcPr>
          <w:p>
            <w:pPr>
              <w:widowControl/>
              <w:spacing w:line="300" w:lineRule="exact"/>
              <w:ind w:left="-67" w:leftChars="-21" w:right="-99" w:rightChars="-31"/>
              <w:jc w:val="center"/>
              <w:rPr>
                <w:rFonts w:ascii="黑体" w:hAnsi="黑体" w:eastAsia="黑体"/>
                <w:sz w:val="21"/>
                <w:szCs w:val="21"/>
              </w:rPr>
            </w:pPr>
            <w:r>
              <w:rPr>
                <w:rFonts w:ascii="黑体" w:hAnsi="黑体" w:eastAsia="黑体"/>
                <w:sz w:val="21"/>
                <w:szCs w:val="21"/>
              </w:rPr>
              <w:t>序号</w:t>
            </w:r>
          </w:p>
        </w:tc>
        <w:tc>
          <w:tcPr>
            <w:tcW w:w="4813" w:type="dxa"/>
            <w:shd w:val="clear" w:color="auto" w:fill="auto"/>
            <w:noWrap/>
            <w:vAlign w:val="center"/>
          </w:tcPr>
          <w:p>
            <w:pPr>
              <w:widowControl/>
              <w:spacing w:line="300" w:lineRule="exact"/>
              <w:ind w:left="-67" w:leftChars="-21" w:right="-99" w:rightChars="-31"/>
              <w:jc w:val="center"/>
              <w:rPr>
                <w:rFonts w:ascii="黑体" w:hAnsi="黑体" w:eastAsia="黑体"/>
                <w:sz w:val="21"/>
                <w:szCs w:val="21"/>
              </w:rPr>
            </w:pPr>
            <w:r>
              <w:rPr>
                <w:rFonts w:ascii="黑体" w:hAnsi="黑体" w:eastAsia="黑体"/>
                <w:sz w:val="21"/>
                <w:szCs w:val="21"/>
              </w:rPr>
              <w:t>事项名称</w:t>
            </w:r>
          </w:p>
        </w:tc>
        <w:tc>
          <w:tcPr>
            <w:tcW w:w="1060" w:type="dxa"/>
            <w:shd w:val="clear" w:color="auto" w:fill="auto"/>
            <w:noWrap/>
            <w:vAlign w:val="center"/>
          </w:tcPr>
          <w:p>
            <w:pPr>
              <w:widowControl/>
              <w:spacing w:line="300" w:lineRule="exact"/>
              <w:ind w:left="-67" w:leftChars="-21" w:right="-99" w:rightChars="-31"/>
              <w:jc w:val="center"/>
              <w:rPr>
                <w:rFonts w:ascii="黑体" w:hAnsi="黑体" w:eastAsia="黑体"/>
                <w:sz w:val="21"/>
                <w:szCs w:val="21"/>
              </w:rPr>
            </w:pPr>
            <w:r>
              <w:rPr>
                <w:rFonts w:hint="eastAsia" w:ascii="黑体" w:hAnsi="黑体" w:eastAsia="黑体"/>
                <w:sz w:val="21"/>
                <w:szCs w:val="21"/>
              </w:rPr>
              <w:t>职权类别</w:t>
            </w:r>
          </w:p>
        </w:tc>
        <w:tc>
          <w:tcPr>
            <w:tcW w:w="957" w:type="dxa"/>
            <w:shd w:val="clear" w:color="auto" w:fill="auto"/>
            <w:noWrap w:val="0"/>
            <w:vAlign w:val="center"/>
          </w:tcPr>
          <w:p>
            <w:pPr>
              <w:widowControl/>
              <w:spacing w:line="300" w:lineRule="exact"/>
              <w:ind w:left="-67" w:leftChars="-21" w:right="-99" w:rightChars="-31"/>
              <w:jc w:val="center"/>
              <w:rPr>
                <w:rFonts w:ascii="黑体" w:hAnsi="黑体" w:eastAsia="黑体"/>
                <w:sz w:val="21"/>
                <w:szCs w:val="21"/>
              </w:rPr>
            </w:pPr>
            <w:r>
              <w:rPr>
                <w:rFonts w:hint="eastAsia" w:ascii="黑体" w:hAnsi="黑体" w:eastAsia="黑体"/>
                <w:sz w:val="21"/>
                <w:szCs w:val="21"/>
              </w:rPr>
              <w:t>处理决定</w:t>
            </w:r>
          </w:p>
        </w:tc>
        <w:tc>
          <w:tcPr>
            <w:tcW w:w="2541" w:type="dxa"/>
            <w:shd w:val="clear" w:color="auto" w:fill="auto"/>
            <w:noWrap/>
            <w:vAlign w:val="center"/>
          </w:tcPr>
          <w:p>
            <w:pPr>
              <w:widowControl/>
              <w:spacing w:line="300" w:lineRule="exact"/>
              <w:ind w:left="-67" w:leftChars="-21" w:right="-99" w:rightChars="-31"/>
              <w:jc w:val="center"/>
              <w:rPr>
                <w:rFonts w:ascii="黑体" w:hAnsi="黑体" w:eastAsia="黑体"/>
                <w:sz w:val="21"/>
                <w:szCs w:val="21"/>
              </w:rPr>
            </w:pPr>
            <w:r>
              <w:rPr>
                <w:rFonts w:hint="eastAsia" w:ascii="黑体" w:hAnsi="黑体" w:eastAsia="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shd w:val="clear" w:color="auto" w:fill="auto"/>
            <w:noWrap/>
            <w:vAlign w:val="center"/>
          </w:tcPr>
          <w:p>
            <w:pPr>
              <w:spacing w:line="300" w:lineRule="exact"/>
              <w:ind w:left="-67" w:leftChars="-21" w:right="-99" w:rightChars="-31"/>
              <w:jc w:val="center"/>
              <w:rPr>
                <w:sz w:val="21"/>
                <w:szCs w:val="21"/>
              </w:rPr>
            </w:pPr>
            <w:r>
              <w:rPr>
                <w:rFonts w:hint="eastAsia"/>
                <w:sz w:val="21"/>
                <w:szCs w:val="21"/>
              </w:rPr>
              <w:t>1</w:t>
            </w:r>
          </w:p>
        </w:tc>
        <w:tc>
          <w:tcPr>
            <w:tcW w:w="4813" w:type="dxa"/>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城市古树名木移植批准</w:t>
            </w:r>
          </w:p>
        </w:tc>
        <w:tc>
          <w:tcPr>
            <w:tcW w:w="10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行政许可</w:t>
            </w:r>
          </w:p>
        </w:tc>
        <w:tc>
          <w:tcPr>
            <w:tcW w:w="957"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调整</w:t>
            </w:r>
          </w:p>
        </w:tc>
        <w:tc>
          <w:tcPr>
            <w:tcW w:w="2541" w:type="dxa"/>
            <w:shd w:val="clear" w:color="auto" w:fill="auto"/>
            <w:noWrap w:val="0"/>
            <w:vAlign w:val="center"/>
          </w:tcPr>
          <w:p>
            <w:pPr>
              <w:keepNext w:val="0"/>
              <w:keepLines w:val="0"/>
              <w:widowControl/>
              <w:suppressLineNumbers w:val="0"/>
              <w:jc w:val="both"/>
              <w:textAlignment w:val="center"/>
              <w:rPr>
                <w:rFonts w:hint="eastAsia" w:ascii="仿宋" w:hAnsi="仿宋" w:eastAsia="仿宋" w:cs="仿宋"/>
                <w:spacing w:val="-4"/>
                <w:sz w:val="21"/>
                <w:szCs w:val="21"/>
              </w:rPr>
            </w:pPr>
            <w:r>
              <w:rPr>
                <w:rFonts w:hint="eastAsia" w:ascii="仿宋" w:hAnsi="仿宋" w:eastAsia="仿宋" w:cs="仿宋"/>
                <w:i w:val="0"/>
                <w:iCs w:val="0"/>
                <w:color w:val="000000"/>
                <w:kern w:val="0"/>
                <w:sz w:val="21"/>
                <w:szCs w:val="21"/>
                <w:u w:val="none"/>
                <w:lang w:val="en-US" w:eastAsia="zh-CN" w:bidi="ar"/>
              </w:rPr>
              <w:t>依据《城市绿化条例》（1992年6月22日国务院令第100号）调整为"迁移古树名木审批"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sz w:val="21"/>
                <w:szCs w:val="21"/>
              </w:rPr>
            </w:pPr>
            <w:r>
              <w:rPr>
                <w:rFonts w:hint="eastAsia"/>
                <w:sz w:val="21"/>
                <w:szCs w:val="21"/>
              </w:rPr>
              <w:t>2</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设置大型户外广告及在城市建筑物、设施上悬挂、张贴宣传品审批</w:t>
            </w:r>
            <w:bookmarkStart w:id="0" w:name="_GoBack"/>
            <w:bookmarkEnd w:id="0"/>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行政许可</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pacing w:val="-4"/>
                <w:sz w:val="21"/>
                <w:szCs w:val="21"/>
              </w:rPr>
            </w:pPr>
            <w:r>
              <w:rPr>
                <w:rFonts w:hint="eastAsia" w:ascii="仿宋" w:hAnsi="仿宋" w:eastAsia="仿宋" w:cs="仿宋"/>
                <w:i w:val="0"/>
                <w:iCs w:val="0"/>
                <w:color w:val="000000"/>
                <w:kern w:val="0"/>
                <w:sz w:val="21"/>
                <w:szCs w:val="21"/>
                <w:u w:val="none"/>
                <w:lang w:val="en-US" w:eastAsia="zh-CN" w:bidi="ar"/>
              </w:rPr>
              <w:t>依据《河南省政务服务事项基本目录》，该职能市辖区不行使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3</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城市建筑垃圾处置核准</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行政许可</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依据《河南省政务服务事项基本目录》，该职能市辖区不行使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4</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沿街建筑物外部装修审核</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行政许可</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依据《河南省政务服务事项基本目录》，该职能市辖区不行使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5</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未取得设计、施工资质或者未按照资质等级承担城市燃气工程的设计、施工任务的；未按照有关技术标准和规范设计、施工的处罚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法律条文取消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6</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未取得经营许可证的；未经验收或验收不合格交付使用的；燃气经营者不按照燃气经营许可证的规定从事燃气经营活动或不按规定履行职责的处罚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法律条文取消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7</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燃气计量未采用符合国家计量标准的燃气计量装置的；未按规定定期进行校验的；燃气器具不符合销售地燃气使用要求的处罚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法律条文取消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8</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侵占、毁损、擅自拆除、移动燃气设施或者擅自改动市政燃气设施的；未制定燃气设施保护方案、未采取安全防护措施的处罚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法律条文取消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eastAsia" w:eastAsia="仿宋_GB2312"/>
                <w:sz w:val="21"/>
                <w:szCs w:val="21"/>
                <w:lang w:val="en-US" w:eastAsia="zh-CN"/>
              </w:rPr>
            </w:pPr>
            <w:r>
              <w:rPr>
                <w:rFonts w:hint="eastAsia"/>
                <w:sz w:val="21"/>
                <w:szCs w:val="21"/>
                <w:lang w:val="en-US" w:eastAsia="zh-CN"/>
              </w:rPr>
              <w:t>9</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修建建筑物、构筑物，堆放物品和挖坑取土等危害供气设施安全的活动的；无正当理由阻挠批准的公共管道燃气工程项目的施工安装的；擅自接通管道使用燃气或者改变燃气使用性质、变更地址和名称的；法律法规规定的其他违规行为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取消</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法律条文取消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10</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拒绝向市政燃气管网覆盖范围内符合用气条件的单位或者个人供气的；倒卖、抵押、出租、出借、转让、涂改燃气经营许可证的；未履行必要告知义务擅自停止供气、调整供气量，或者未经审批擅自停业或者歇业的； 向未取得燃气经营许可证的单位或者个人提供用于经营的燃气的；在不具备安全条件的场所储存燃气的； 要求燃气用户购买其指定的产品或者接受其提供的服务；燃气经营者未向燃气用户持续、稳定、安全供应符合国家质量标准的燃气，或者未对燃气用户的燃气设施定期进行安全检查的行政处罚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依据《城镇燃气管理条例》（国务院2010第583号）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11</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燃气用户及相关单位和个人擅自操作公用燃气阀门的； 将燃气管道作为负重支架或者接地引线的； 安装、使用不符合气源要求的燃气燃烧器具的； 擅自安装、改装、拆除户内燃气设施和燃气计量装置的； 在不具备安全条件的场所使用、储存燃气的； 改变燃气用途或者转供燃气的；未设立售后服务站点或者未配备经考核合格的燃气燃烧器具安装、维修人员的； 燃气燃烧器具的安装、维修不符合国家有关标准的行政处罚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依据《城镇燃气管理条例》（国务院2010第584号）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12</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单位或个人在燃气设施保护范围内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行政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依据《城镇燃气管理条例》（国务院2010第585号）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13</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依据《城镇燃气管理条例》（国务院2010第586号）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14</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在城市照明设施上刻划、涂污的处罚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15</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在城市照明设施安全距离内，擅自植树、挖坑取土或者设置其他物体，或者倾倒含酸、碱、盐等腐蚀物或者具有腐蚀性的废渣、废液的处罚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16</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擅自在城市照明设施上张贴、悬挂、设置宣传品、广告的处罚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17</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擅自在城市照明设施上架设线缆、安置其它设施或者接用电源的处罚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18</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擅自迁移、拆除、利用城市照明设施的处罚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19</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擅自在桥梁、桥涵或者城市照明设施上架设管线、设置广告牌或其它挂浮物的处罚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20</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擅自堆放物料影响市容的；搭建临时建（构）筑物等影响市容的处罚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21</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占用或者挖掘城市道路；履带车、铁轮车或者超重、超高、超长车辆擅自在城市道路上行驶；机动车在桥梁或者非指定的城市道路上试刹车；擅自在城市道路上建设建筑物、构筑物；在桥梁上架设压力在４公斤／平方厘米（０．４兆帕）以上的煤气管道、１０千伏以上的高压电力线和其他易燃易爆管线；擅自在桥梁或者路灯设施上设置广告牌或者其他挂浮物；其他损害、侵占城市道路的</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eastAsia="仿宋_GB2312"/>
                <w:sz w:val="21"/>
                <w:szCs w:val="21"/>
                <w:lang w:val="en-US" w:eastAsia="zh-CN"/>
              </w:rPr>
            </w:pPr>
            <w:r>
              <w:rPr>
                <w:rFonts w:hint="eastAsia"/>
                <w:sz w:val="21"/>
                <w:szCs w:val="21"/>
                <w:lang w:val="en-US" w:eastAsia="zh-CN"/>
              </w:rPr>
              <w:t>22</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擅自在城市道路上建设建筑物、构筑物的处罚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67" w:leftChars="-21" w:right="-99" w:rightChars="-31"/>
              <w:jc w:val="center"/>
              <w:rPr>
                <w:rFonts w:hint="default"/>
                <w:sz w:val="21"/>
                <w:szCs w:val="21"/>
                <w:lang w:val="en-US" w:eastAsia="zh-CN"/>
              </w:rPr>
            </w:pPr>
            <w:r>
              <w:rPr>
                <w:rFonts w:hint="eastAsia"/>
                <w:sz w:val="21"/>
                <w:szCs w:val="21"/>
                <w:lang w:val="en-US" w:eastAsia="zh-CN"/>
              </w:rPr>
              <w:t>23</w:t>
            </w:r>
          </w:p>
        </w:tc>
        <w:tc>
          <w:tcPr>
            <w:tcW w:w="4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对擅自占用道路设施的处罚</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行政处罚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新增</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eastAsia" w:ascii="仿宋" w:hAnsi="仿宋" w:eastAsia="仿宋" w:cs="仿宋"/>
                <w:sz w:val="21"/>
                <w:szCs w:val="21"/>
              </w:rPr>
            </w:pPr>
            <w:r>
              <w:rPr>
                <w:rFonts w:hint="eastAsia" w:ascii="仿宋" w:hAnsi="仿宋" w:eastAsia="仿宋" w:cs="仿宋"/>
                <w:sz w:val="21"/>
                <w:szCs w:val="21"/>
              </w:rPr>
              <w:t>依据职能划分，划转我单位</w:t>
            </w:r>
          </w:p>
        </w:tc>
      </w:tr>
    </w:tbl>
    <w:p>
      <w:pPr>
        <w:rPr>
          <w:rFonts w:hint="eastAsia" w:ascii="黑体" w:hAnsi="黑体" w:eastAsia="黑体"/>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MzZjZWZjNzVlMWU3MmUzMjI3YjkwM2U3YzY4YzEifQ=="/>
  </w:docVars>
  <w:rsids>
    <w:rsidRoot w:val="00000000"/>
    <w:rsid w:val="0985344F"/>
    <w:rsid w:val="13C62B06"/>
    <w:rsid w:val="2F1F3CE3"/>
    <w:rsid w:val="4F1E2CAF"/>
    <w:rsid w:val="5312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1884</Words>
  <Characters>1918</Characters>
  <Lines>0</Lines>
  <Paragraphs>0</Paragraphs>
  <TotalTime>2</TotalTime>
  <ScaleCrop>false</ScaleCrop>
  <LinksUpToDate>false</LinksUpToDate>
  <CharactersWithSpaces>1926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2022-12-09T02:41:00Z</dcterms:created>
  <dc:creator>Administrator</dc:creator>
  <cp:lastModifiedBy>Administrator</cp:lastModifiedBy>
  <dcterms:modified xsi:type="dcterms:W3CDTF">2022-12-09T03:02:13Z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7B4AC3A975A84F5B81E99FE3BA0421D2</vt:lpwstr>
  </property>
</Properties>
</file>