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94" w:rsidRPr="00EF3594" w:rsidRDefault="00EF3594" w:rsidP="00EF3594">
      <w:pPr>
        <w:widowControl/>
        <w:shd w:val="clear" w:color="auto" w:fill="FFFFFF"/>
        <w:spacing w:after="210"/>
        <w:jc w:val="left"/>
        <w:outlineLvl w:val="0"/>
        <w:rPr>
          <w:rFonts w:ascii="微软雅黑" w:eastAsia="微软雅黑" w:hAnsi="微软雅黑" w:cs="宋体" w:hint="eastAsia"/>
          <w:spacing w:val="8"/>
          <w:kern w:val="36"/>
          <w:sz w:val="33"/>
          <w:szCs w:val="33"/>
        </w:rPr>
      </w:pPr>
      <w:r w:rsidRPr="00EF3594">
        <w:rPr>
          <w:rFonts w:ascii="微软雅黑" w:eastAsia="微软雅黑" w:hAnsi="微软雅黑" w:cs="宋体" w:hint="eastAsia"/>
          <w:spacing w:val="8"/>
          <w:kern w:val="36"/>
          <w:sz w:val="33"/>
          <w:szCs w:val="33"/>
        </w:rPr>
        <w:t>建安区2023年义务教育学校招生入学实施方案（内含学区划分方案）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黑体" w:eastAsia="黑体" w:hAnsi="黑体" w:cs="宋体" w:hint="eastAsia"/>
          <w:b/>
          <w:bCs/>
          <w:spacing w:val="8"/>
          <w:kern w:val="0"/>
          <w:sz w:val="30"/>
        </w:rPr>
        <w:t>招生对象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1.小学：截至招生当年8月31日（含8月31日），年满6周岁的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建安区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户籍适龄儿童、符合条件的进城务工人员随迁子女。外地户籍符合政策规定准入类学生。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2.初中：具有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建安区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户籍的小学毕业生，符合条件的进城务工人员随迁子女。外地户籍符合政策规定准入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类小学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毕业生。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黑体" w:eastAsia="黑体" w:hAnsi="黑体" w:cs="宋体" w:hint="eastAsia"/>
          <w:b/>
          <w:bCs/>
          <w:spacing w:val="8"/>
          <w:kern w:val="0"/>
          <w:sz w:val="30"/>
        </w:rPr>
        <w:t>招生办法</w:t>
      </w: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（一）城区小学、初中招生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2023年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建安区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城区公、民办中小学不再采用网上报名，7月15日至7月25日期间，由招生学校提前发布公告，明确招生时间（每校至少安排两天时间），适龄儿童及其监护人需在片区所在学校规定的时间内，持相关证明材料到学校完成现场资格审查，学校负责审核材料并实地核实。学校审核结束后，将符合条件的学生信息登记表及相关证明材料报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区教体局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，8月1日至15日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区教体局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组织人员进行复核。8月20日至8月27日学校将符合条件的学生信息导入河南省义务教育招生服务平台，由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区教体局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、学校完成投档录取工作。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适龄儿童家长（监护人）未在规定时间内到片区学校审核材料或提供虚假材料的，视为自愿放弃到学区内就学的资格。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  <w:szCs w:val="27"/>
        </w:rPr>
        <w:t>（二）</w:t>
      </w: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乡镇小学、初中招生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各乡镇学校(含民办)中小学学生的报名工作由各乡镇中心学校负责实施。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（三）特殊群体入学</w:t>
      </w: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1.随迁子女入学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坚持“以流入地政府为主、以公办学校为主”原则，健全完善以居住证为主要依据的随迁子女入学政策，切实简化随迁子女入学流程和证明要求，保障随迁子女平等接受义务教育，确保“应入尽入”。随迁子女与本地学生实行“四统一”（统一管理、统一编班、统一教学、统一安排活动）。在评优奖励、入队入团、课外活动等方面，随迁子女与城市学生享有同等权利。城区的随迁子女入学统一由各报名学校核实信息、分类登记入学信息，各学校具体负责。回乡创业人员随迁子女回户籍所在地学校就读的，由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区教体局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和学校按照政策依法依规统筹安排。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 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2.留守儿童和困境儿童入学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各乡校要积极会同有关部门，认真落实好教育关爱政策，确保每一名适龄留守儿童少年能按时入学接受义务教育；要做好困境家庭学生的帮扶资助工作，确保不让一名学生因家庭贫困而失学；要积极通过建设乡镇寄宿制学校、提供校车服务等方式，确保乡村适龄儿童不因上学不便而失学辍学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3.残疾儿童少年入学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各乡校要会同当地残联，认真摸清适龄残疾儿童底数，“一人一案”进行分类安置，确保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不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失学，不辍学。大力推进融合教育，优先采用普通学校随班就读的方式，就近安排轻度适龄残疾儿童少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年接受义务教育；中、重度残疾儿童安排至特殊教育学校就读；对需要专人护理、不能到学校就读的实施送教上门服务，采取多种方式保障其接受义务教育。对于入学安置有争议的，由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区教体局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牵头组织残疾人教育专家委员会，对其接受义务教育的能力进行评估认定，提出入学安置意见，明确适龄残疾儿童少年接受义务教育的方式和具体就读（送教）学校。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4.优抚对象子女入学</w:t>
      </w:r>
    </w:p>
    <w:p w:rsidR="00EF3594" w:rsidRPr="00EF3594" w:rsidRDefault="00EF3594" w:rsidP="00EF3594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烈士子女、符合条件的现役军人子女、公安英模和因公牺牲、伤残警察子女、符合条件的高层次人才子女及其他各类符合条件的优抚对象，按照相关规定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由教体局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按照相关规定统筹入学。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</w:p>
    <w:p w:rsidR="00EF3594" w:rsidRPr="00EF3594" w:rsidRDefault="00EF3594" w:rsidP="00EF359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2023年许昌市</w:t>
      </w:r>
      <w:proofErr w:type="gramStart"/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建安区</w:t>
      </w:r>
      <w:proofErr w:type="gramEnd"/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城区小学学区</w:t>
      </w:r>
    </w:p>
    <w:p w:rsidR="00EF3594" w:rsidRPr="00EF3594" w:rsidRDefault="00EF3594" w:rsidP="00EF359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划分方案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根据各区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直小学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提供的所属学校学区划分情况，制定本方案。本方案仅使用2023年学区划分，学区划分出现空白点，由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区教体局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统筹安排。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潩水路小学学区范围：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（1）东至清潩河，西至兴昌路，南至新许路，北至小铁路；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（2）东至潩水路，西至文苑路，南至许由路，北至新许路；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（3）东至学院南路（东城区界），西至潩水路，南至金叶大道，北至许由路；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（4）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含张炉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村原籍村民、天合幸福花城小区及潩水路与许由路交叉口路南部分小区。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瑞贝卡花园小区、昭通小区、大正翡翠花园、天合幸福花城、师范家属院、四合院家属院、人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劳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局家属院、将官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池政府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属院、邮政局家属院、金域湾、怀义小区、文苑新家、漓水金沙小区、兴昌路张炉集资楼、县广电局家属院、县农行家属院、县民政局家属院、县水利局家属院、三国经贸公司家属院、县公安局家属院、县法院家属院、县党校家属院、县人行家属院、县电业局家属院、县地税局家属院、物资局综合公司家属院、渭南建筑家属院、物资局机电公司家属院、金源小区、物资总公司家属院、新华书店家属院、县检察院家属院、金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域蓝湾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、瑞欣园、阳光小区家属院、环保局家属院、379家属院、张炉社区。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区实验小学学区范围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（1）东至兴昌路,西至文兴路（52号线杆），南至新许路，北至南湖街，含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枪杆刘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原籍村民；（2）东至文苑路，西至文峰北路（魏都区、开发区界）、南至许由路、北至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新许路及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振兴路。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检察院家属院、保险公司家属院、税务局家属院、法院家属院、交通局家属院、电业局家属院、公疗家属院、经委家属院、经协家属院、城建局家属院、土地局家属院、水厂家属院、新华书店家属院、小铁路家属院、瑞贝卡家属院（新许路）、物价局家属院、水务局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家属院、审计局家属院、中行家属院、沛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鑫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家园、组织部家属院、广电局家属院、科达家属院、纪委家属院、燃料公司家属院、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农贸路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111号院、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农贸路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137号院、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利民路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187号林业局家属院、南湖苑小区、华茂二建家属院、机械厂东家属院、机械厂西家属院、县委县政府82号院、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利民路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50号院、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医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和中医院、兴昌路280号院、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利民路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38号院、老干部家属院、农业局家属院、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世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鹏制衣家属院、县工会家属院、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教体局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利民路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131号院、君悦城小区、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枪杆刘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集资楼772号院、财政局家属院、物资局金属材料公司独院、乡镇企业局家属院、物资公司家属院（1、2号楼）、运管所家属院、生资公司家属院、金属公司家属院、木材公司家属院、物资局排房、化建公司三层楼家属院、物资局168号家属院、农贸巷排房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枪杆刘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九组家属院、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建安区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交警队家属院、社保局家属院、振兴苑、工商局家属院、振兴路东农行家属院、振兴路西农行家属院、石油公司家属院、汇龙小区、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烟办家属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院、对台办、兰亭熙园、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枪杆刘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社区。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区实验中学（小学部）学区范围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东至潩水路、西至魏风路、南至瑞贝卡大道（含南苑新城、金质花园、地方铁路管理站家属院）、北至许由路。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民生小区998院、县三中家属院、技术监督局家属院、土地局家属院、文化馆57号院、和谐小区、文苑路126号院、法院家属院、瑞贝卡家属院（文苑路）、司法局家属院、五金厂家属院、兴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昌小区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家属院、沙发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车篷厂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家属院、面粉厂家属院、城南第一府、电业局院、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发改委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属院、德昌小区家属院、食品厂家属院、公路局家属院、环卫家属院、万利达家属院、万里市政公司家属院、武装部家属院、文化局家属院、恒达路139号家属院、物价局家属院、保安驾校院、518家属院、液化汽厂家属院、许都商业银行家属院、种子公司家属院、车队粮油家属院、东城公司家属院、医药公司家属院、地税局家属院、城建局家属院、七色花家属院、经协家属院、工商局家属院、财委纪委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糠纯厂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家属院、房管局家属院、计生委家属院、昌大饲料家属院、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超黎服装厂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家属院、公安局家属院、农科所排房、针织厂家属院、城建局家属院、蓝天服装厂家属院、工商局家属院、就业局家属院、第一服装厂家属院、南苑新城、金质花园、地方铁路管理站家属院。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proofErr w:type="gramStart"/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魏风路小学</w:t>
      </w:r>
      <w:proofErr w:type="gramEnd"/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学区范围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（1）东至文兴路（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含宏安佳苑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及其他归幸福社区管辖的排房）、西到仓库路（魏都区、开发区界）、南到恒通路，北到瑞贝卡大道；（2）东至魏风路，西至魏都区界，南至瑞贝卡大道，北至许由路（魏都区界）。含十里铺、花园村原籍村民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宏安佳苑、东源锦程小区、金地玫瑰、装潢公司家属院、石油公司家属院、瑞贝卡老厂家属院、和院兰亭、林润人和苑、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天合丽景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、东源锦尚、瑞丰苑、联通公司家属院、粮食局家属院、人大家属院、160号院、四通家属院、防疫站家属院、农科所（100号、80号、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62号、56号、独院）院、建材公司家属院、十里铺社区、长村张花园村原籍村民。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镜水路小学学区范围：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东到文峰北路（示范区界）、西到汉风路、南到魏都区界、北到新元大道。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北海龙城、李桥、曹寨、泘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沱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、吕桥社区、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忽庄社区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锦艺悦城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正商金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域世家。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龙泉街小学学区范围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（1）东到魏武大道（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魏庄街至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龙泉街段）、魏文路（龙泉街至聚贤街段）、西到文峰北路、南到聚贤街、北到魏庄街；（2）东至魏文路（示范区界），西至文峰北路，南至昌盛路，北至聚贤街。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武店新家园、合美佳苑、聚贤人家、碧湖云天、邓庄小区、千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玺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乐苑、北海森林半岛、北海腾飞花园、恒达玖玺府。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永宁街小学学区范围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（1）东到滨河路、西到汉风路、南到新元大道、北到大学路；（2）东到文峰路、西至滨河路、南至永宁街、北至大学路；（3）苏桥镇禄马、官王、大黄桥三个村的原籍村民。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潩水庄园北区（一号地）、北海62郡、泰和院、黄李新城、禄马、官王、大黄桥、北海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桂园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正商书香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华府、常绿北海壹号院、建业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臻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悦汇、美好莲城、农大家属院。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新区实验学校小学部学区范围</w:t>
      </w: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（1）东至文峰路、西至滨河路、南至新元大道、北至永宁街；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（2）东至魏武大道、西至文峰北路、南至魏庄街、北至建德路;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（3）苏桥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镇丈地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、孟村、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罗拐三个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村的原籍村民。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该学区内具体涉及的办事处所属社区管理的小区（家属院）如下：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潩水庄园南区（二号地）、镜湖花园、壹号公馆、滨河新苑、尚品园、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北府景园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（天明雅苑）、丈地、孟村、罗拐、万丰铂金悦府、大正</w:t>
      </w:r>
      <w:proofErr w:type="gramStart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鲲</w:t>
      </w:r>
      <w:proofErr w:type="gramEnd"/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府、中梁首府、北海之滨。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河街</w:t>
      </w:r>
      <w:proofErr w:type="gramStart"/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乡贺庄</w:t>
      </w:r>
      <w:proofErr w:type="gramEnd"/>
      <w:r w:rsidRPr="00EF3594">
        <w:rPr>
          <w:rFonts w:ascii="仿宋_GB2312" w:eastAsia="仿宋_GB2312" w:hAnsi="微软雅黑" w:cs="宋体" w:hint="eastAsia"/>
          <w:b/>
          <w:bCs/>
          <w:spacing w:val="8"/>
          <w:kern w:val="0"/>
          <w:sz w:val="27"/>
        </w:rPr>
        <w:t>小学学区范围：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许由街道曹庄社区所辖小区及村庄（曹庄村、天基理想城等）。</w:t>
      </w:r>
    </w:p>
    <w:p w:rsidR="00EF3594" w:rsidRPr="00EF3594" w:rsidRDefault="00EF3594" w:rsidP="00EF359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spacing w:val="8"/>
          <w:kern w:val="0"/>
          <w:sz w:val="24"/>
          <w:szCs w:val="24"/>
        </w:rPr>
        <w:lastRenderedPageBreak/>
        <w:drawing>
          <wp:inline distT="0" distB="0" distL="0" distR="0">
            <wp:extent cx="6381750" cy="7353300"/>
            <wp:effectExtent l="1905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594" w:rsidRPr="00EF3594" w:rsidRDefault="00EF3594" w:rsidP="00EF3594">
      <w:pPr>
        <w:widowControl/>
        <w:shd w:val="clear" w:color="auto" w:fill="FFFFFF"/>
        <w:spacing w:after="360"/>
        <w:jc w:val="center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spacing w:val="8"/>
          <w:kern w:val="0"/>
          <w:sz w:val="24"/>
          <w:szCs w:val="24"/>
        </w:rPr>
        <w:lastRenderedPageBreak/>
        <w:drawing>
          <wp:inline distT="0" distB="0" distL="0" distR="0">
            <wp:extent cx="5991225" cy="7029450"/>
            <wp:effectExtent l="19050" t="0" r="9525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  <w:t>2023年许昌市</w:t>
      </w:r>
      <w:proofErr w:type="gramStart"/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  <w:t>建安区</w:t>
      </w:r>
      <w:proofErr w:type="gramEnd"/>
      <w:r w:rsidRPr="00EF3594"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  <w:t>城区初中学区划分方案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黑体" w:eastAsia="黑体" w:hAnsi="黑体" w:cs="宋体" w:hint="eastAsia"/>
          <w:spacing w:val="8"/>
          <w:kern w:val="0"/>
          <w:sz w:val="27"/>
          <w:szCs w:val="27"/>
        </w:rPr>
        <w:t>以下片区仅包括属</w:t>
      </w:r>
      <w:proofErr w:type="gramStart"/>
      <w:r w:rsidRPr="00EF3594">
        <w:rPr>
          <w:rFonts w:ascii="黑体" w:eastAsia="黑体" w:hAnsi="黑体" w:cs="宋体" w:hint="eastAsia"/>
          <w:spacing w:val="8"/>
          <w:kern w:val="0"/>
          <w:sz w:val="27"/>
          <w:szCs w:val="27"/>
        </w:rPr>
        <w:t>建安区</w:t>
      </w:r>
      <w:proofErr w:type="gramEnd"/>
      <w:r w:rsidRPr="00EF3594">
        <w:rPr>
          <w:rFonts w:ascii="黑体" w:eastAsia="黑体" w:hAnsi="黑体" w:cs="宋体" w:hint="eastAsia"/>
          <w:spacing w:val="8"/>
          <w:kern w:val="0"/>
          <w:sz w:val="27"/>
          <w:szCs w:val="27"/>
        </w:rPr>
        <w:t>管辖且在小学片区划分中已列举名称的小区及村庄。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1.</w:t>
      </w:r>
      <w:proofErr w:type="gramStart"/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建安区</w:t>
      </w:r>
      <w:proofErr w:type="gramEnd"/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实验中学（中学部）：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lastRenderedPageBreak/>
        <w:t>片区1、片区2、片区3、片区4、片区5、片区6、片区7、片区8、片区9、片区14、片区15、片区16、片区17、片区18、片区19、片区20、片区21、片区38、片区39、片区44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2.</w:t>
      </w:r>
      <w:proofErr w:type="gramStart"/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魏风路中学</w:t>
      </w:r>
      <w:proofErr w:type="gramEnd"/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：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片区10、片区11、片区12、片区13、片区35、片区36、片区37、片区40、片区41、片区42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3.建安中学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片区22、片区23、片区28、片区29、片区30、片区33、片区43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4.永宁街中学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片区26、片区27、片区32、片区34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5.新区实验学校（中学部）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仿宋_GB2312" w:eastAsia="仿宋_GB2312" w:hAnsi="微软雅黑" w:cs="宋体" w:hint="eastAsia"/>
          <w:spacing w:val="8"/>
          <w:kern w:val="0"/>
          <w:sz w:val="27"/>
          <w:szCs w:val="27"/>
        </w:rPr>
        <w:t>片区24、片区25、片区31</w:t>
      </w:r>
    </w:p>
    <w:p w:rsidR="00EF3594" w:rsidRPr="00EF3594" w:rsidRDefault="00EF3594" w:rsidP="00EF3594">
      <w:pPr>
        <w:widowControl/>
        <w:shd w:val="clear" w:color="auto" w:fill="FFFFFF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EF3594">
        <w:rPr>
          <w:rFonts w:ascii="楷体_GB2312" w:eastAsia="楷体_GB2312" w:hAnsi="微软雅黑" w:cs="宋体" w:hint="eastAsia"/>
          <w:b/>
          <w:bCs/>
          <w:spacing w:val="8"/>
          <w:kern w:val="0"/>
          <w:sz w:val="27"/>
        </w:rPr>
        <w:t>6.河街乡一中</w:t>
      </w:r>
    </w:p>
    <w:p w:rsidR="00845490" w:rsidRPr="00EF3594" w:rsidRDefault="00845490">
      <w:pPr>
        <w:rPr>
          <w:rFonts w:hint="eastAsia"/>
        </w:rPr>
      </w:pPr>
    </w:p>
    <w:sectPr w:rsidR="00845490" w:rsidRPr="00EF3594" w:rsidSect="00845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594"/>
    <w:rsid w:val="00845490"/>
    <w:rsid w:val="00EF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9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F35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359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EF3594"/>
  </w:style>
  <w:style w:type="character" w:styleId="a3">
    <w:name w:val="Hyperlink"/>
    <w:basedOn w:val="a0"/>
    <w:uiPriority w:val="99"/>
    <w:semiHidden/>
    <w:unhideWhenUsed/>
    <w:rsid w:val="00EF3594"/>
    <w:rPr>
      <w:color w:val="0000FF"/>
      <w:u w:val="single"/>
    </w:rPr>
  </w:style>
  <w:style w:type="character" w:styleId="a4">
    <w:name w:val="Emphasis"/>
    <w:basedOn w:val="a0"/>
    <w:uiPriority w:val="20"/>
    <w:qFormat/>
    <w:rsid w:val="00EF3594"/>
    <w:rPr>
      <w:i/>
      <w:iCs/>
    </w:rPr>
  </w:style>
  <w:style w:type="paragraph" w:styleId="a5">
    <w:name w:val="Normal (Web)"/>
    <w:basedOn w:val="a"/>
    <w:uiPriority w:val="99"/>
    <w:semiHidden/>
    <w:unhideWhenUsed/>
    <w:rsid w:val="00EF35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3594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EF3594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F35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61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</dc:creator>
  <cp:lastModifiedBy>mada</cp:lastModifiedBy>
  <cp:revision>1</cp:revision>
  <dcterms:created xsi:type="dcterms:W3CDTF">2023-10-25T04:05:00Z</dcterms:created>
  <dcterms:modified xsi:type="dcterms:W3CDTF">2023-10-25T04:06:00Z</dcterms:modified>
</cp:coreProperties>
</file>