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河南省</w:t>
      </w:r>
      <w:r>
        <w:rPr>
          <w:rFonts w:hint="eastAsia" w:ascii="方正小标宋_GBK" w:hAnsi="方正小标宋_GBK" w:eastAsia="方正小标宋_GBK" w:cs="方正小标宋_GBK"/>
          <w:sz w:val="44"/>
          <w:szCs w:val="44"/>
        </w:rPr>
        <w:t>洪水影响评价类</w:t>
      </w:r>
      <w:r>
        <w:rPr>
          <w:rFonts w:hint="eastAsia" w:ascii="方正小标宋_GBK" w:hAnsi="方正小标宋_GBK" w:eastAsia="方正小标宋_GBK" w:cs="方正小标宋_GBK"/>
          <w:sz w:val="44"/>
          <w:szCs w:val="44"/>
          <w:lang w:val="en-US" w:eastAsia="zh-CN"/>
        </w:rPr>
        <w:t>审批管理办法（试行）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加强我省洪水影响评价类审批管理工作，进一步明确审批权限、简化审批流程、提高审批效率，根据《水利部简化整合投资项目涉水行政审批实施办法（试行）》（水规计〔2016〕22号）、《水利部办公厅关于印发水利部全面实行水利行政许可事项清单管理实施方案的通知》（办政法〔2022〕164号）等文件规定，结合我省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本办法适用于我省各级水行政主管部门洪水影响评价类审批事项。水利部流域机构负责审批的我省洪水影响评价类审批事项不适用于本办法。</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洪水影响评价类审批包括水工程建设规划同意书、河道管理范围内建设项目工程建设方案审批、非防洪建设项目洪水影响评价报告审批、国家基本水文测站上下游建设影响水文监测工程的审批等4项。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有下列情形之一或者以上的，办理洪水影响评价类审批行政许可。</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（一）水工程建设规划同意书。</w:t>
      </w:r>
      <w:bookmarkStart w:id="0" w:name="_GoBack"/>
      <w:bookmarkEnd w:id="0"/>
      <w:r>
        <w:rPr>
          <w:rFonts w:hint="eastAsia" w:ascii="仿宋_GB2312" w:hAnsi="仿宋_GB2312" w:eastAsia="仿宋_GB2312" w:cs="仿宋_GB2312"/>
          <w:sz w:val="32"/>
          <w:szCs w:val="32"/>
          <w:lang w:val="en-US" w:eastAsia="zh-CN"/>
        </w:rPr>
        <w:t>在江河、湖泊上新建、扩建以及改建并调整原有功能的水工程，是指水库、拦河闸坝、引（调、提）水工程、堤防、河道整治、水电站（含航运水电枢纽工程）等在江河、湖泊上开发、利用、控制、调配和保护水资源的各类工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河道管理范围内建设项目工程建设方案审批。在河道、湖泊管理范围内的建设项目，指在河道（包括河滩地、湖泊、水库、人工水道）管理范围内新建、扩建、改建项目，跨河、穿河、穿堤、临河的桥梁、隧道、渡槽、码头、</w:t>
      </w:r>
      <w:r>
        <w:rPr>
          <w:rFonts w:hint="eastAsia" w:ascii="仿宋_GB2312" w:hAnsi="仿宋_GB2312" w:eastAsia="仿宋_GB2312" w:cs="仿宋_GB2312"/>
          <w:color w:val="auto"/>
          <w:sz w:val="32"/>
          <w:szCs w:val="32"/>
          <w:lang w:val="en-US" w:eastAsia="zh-CN"/>
        </w:rPr>
        <w:t>道路、景观工程、生态修复工程、渡口、管道、缆线、取水口、排污口等建筑物，厂房、仓库、工业和民用建筑以及其他公共设施。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（三）非防洪建设项目洪水影响评价报告审批</w:t>
      </w:r>
      <w:r>
        <w:rPr>
          <w:rFonts w:hint="eastAsia" w:ascii="仿宋_GB2312" w:hAnsi="仿宋_GB2312" w:eastAsia="仿宋_GB2312" w:cs="仿宋_GB2312"/>
          <w:color w:val="auto"/>
          <w:sz w:val="32"/>
          <w:szCs w:val="32"/>
          <w:lang w:val="en-US" w:eastAsia="zh-CN"/>
        </w:rPr>
        <w:t>。在洪泛区、蓄滞洪区内建设非防洪建设项目，指除防洪工程设施以外的其他</w:t>
      </w:r>
      <w:r>
        <w:rPr>
          <w:rFonts w:hint="eastAsia" w:ascii="仿宋_GB2312" w:hAnsi="仿宋_GB2312" w:eastAsia="仿宋_GB2312" w:cs="仿宋_GB2312"/>
          <w:sz w:val="32"/>
          <w:szCs w:val="32"/>
          <w:lang w:val="en-US" w:eastAsia="zh-CN"/>
        </w:rPr>
        <w:t>各类新建、扩建、改建建设项目，主要包括桥梁、码头、铁路、公路、机场、管线、地下公共工程、旅游开发、工矿企业、景观工程、商业区、集中生活区等。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国家基本水文测站上下游建设影响水文监测工程的审批。在国家基本水文测站上下游建设影响水文监测的工程，指在水文测站上下游各20公里（平原河网区上下游各10公里）河道管理范围内，新建、改建、扩建影响水文监测的水工程，桥梁、码头和其他拦河、跨河、临河建筑物、构筑物，或者铺设跨河管道、电缆，取水、排污等其他可能影响水文监测的工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我省境内水利部流域机构洪水影响评价类审批权限按照水利部有关规定执行，具体如下。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（一）水利部流域机构水工程建设规划同意书按照下列文件执行：</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"http://www.mwr.gov.cn/zwgk/gknr/202010/t20201030_1461437.html" \t "https://spjc.mwr.gov.cn/spjc/hallg/16001/_blank"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《水利部关于明确由海河水利委员会负责审查并签署水工程建设规划同意书的河流（河段）名录和范围（试行）的通知》（水规计〔2009〕457号）</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"http://www.mwr.gov.cn/zwgk/gknr/201212/t20121213_1444153.html" \t "https://spjc.mwr.gov.cn/spjc/hallg/16001/_blank"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《水利部关于明确由黄河水利委员会负责审查并签署水工程建设规划同意书的河流（河段）湖泊名录和范围（试行）的通知》（水规计〔2010〕74号）</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"http://www.mwr.gov.cn/zwgk/gknr/201301/t20130125_1443405.html" \t "https://spjc.mwr.gov.cn/spjc/hallg/16001/_blank"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《关于明确由淮河水利委员会负责审查并签署水工程建设规划同意书的河流（河段）湖泊名录和范围（试行）的通知》（水规计〔2009〕144号）</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"http://www.mwr.gov.cn/zwgk/gknr/201212/t20121213_1444151.html" \t "https://spjc.mwr.gov.cn/spjc/hallg/_blank"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《水利部关于明确由长江水利委员会负责审查并签署水工程建设规划同意书的河流（河段）湖泊名录和范围（试行）的通知》（水规计〔2010〕175号）</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（二）水利部流域机构河道管理范围内建设项目工程建设方案审批按照</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"http://www.mwr.gov.cn/zwgk/gknr/202108/t20210806_1534011.html" \t "https://spjc.mwr.gov.cn/spjc/hallg/_blank"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《水利部关于印发河湖管理范围内建设项目各流域管理机构审查权限的通知》（水河湖〔2021〕237号）</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（三）非防洪建设项目洪水影响评价报告审批按照</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"http://www.mwr.gov.cn/zwgk/gknr/201711/t20171116_1442718.html" \t "https://spjc.mwr.gov.cn/spjc/hallg/_blank"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《水利部关于加强非防洪建设项目洪水影响评价工作的通知》（水汛〔2017〕359号）</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（四）国家基本水文测站上下游建设影响水文监测工程的审批。水利部流域机构管理的国家基本水文测站上下游建设工程由水利部流域机构审批。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省水利厅洪水影响评价类审批权限如下。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（一）水工程建设规划同意书审批权限：</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1.在流域面积大于1000平方公里河流上新建、扩建以及改建并调整原有功能的水工程；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2.流域面积小于1000平方公里跨省辖市界以河为界河段和河道上下游10公里河段上新建、扩建以及改建并调整原有功能的水工程；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3.在流域面积小于1000平方公里河流新建或扩建的大中型水库、水电站工程。</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（二）河道管理范围内建设</w:t>
      </w:r>
      <w:r>
        <w:rPr>
          <w:rFonts w:hint="eastAsia" w:ascii="仿宋_GB2312" w:hAnsi="仿宋_GB2312" w:eastAsia="仿宋_GB2312" w:cs="仿宋_GB2312"/>
          <w:color w:val="auto"/>
          <w:sz w:val="32"/>
          <w:szCs w:val="32"/>
          <w:lang w:val="en-US" w:eastAsia="zh-CN"/>
        </w:rPr>
        <w:t>项目工程建设方案审批。省管水库管理范围内和跨省辖市界以河为界河段或河道上下游10公里河段河道管理范围内建设项目。</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（三）非防洪建设项目洪水影响评价报告审批。海河流域良相坡、长虹渠、柳围坡、白寺坡、小滩坡、任固坡、共渠西、广润坡、崔家桥和淮河流域泥河洼、老王坡、蛟停湖、杨庄等13个蓄滞洪区内建设项目。</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（四）国家基本水文测站上下游建设影响水文监测工程的审批。省水利厅管理的国家基本水文测站上下游各20公里（平原河网区上下游各10公里）的建设项目。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涉及洪水影响评价类审批1个审批事项的建设项目，按照以下规定编制论证报告。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（一）涉及水工程建设规划同意书审批的建设项目，应按照《水工程建设规划同意书论证报告编制导则（试行）》（SL/Z719-2015）水工程建设规划同意书论证报告。</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（二）涉及河道管理范围内建设项目工程建设方案审批的建设项目，按照《河道管理范围内建设项目防洪评价报告编制导则》（SL/T 808-2021）编制防洪评价报告。</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（三）涉及非防洪建设项目洪水影响评价报告审批的建设项目，应按照《洪水影响评价报告编制导则》（SL 520-2014）编制洪水影响评价报告。</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（四）涉及国家基本水文测站上下游建设影响水文监测工程的审批的建设项目，参照《黄委建设工程影响水文监测分析评价报告编制规定》（黄办〔2018〕216号）编制建设工程影响水文监测分析评价报告。</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对涉及洪水影响评价类审批2个及以上审批事项的建设项目或跨多市县的高速公路、石油与燃气管道、输电线等线性工程，执行“四个一”办理方式，即一次申报、一本报告、一次审查、一个批文，其审批权限属于两级以上或者两个以上水行政主管部门的，由上级或者共同的上一级水行政主管部门审批，有关的下级水行政主管部门参与。</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第九</w:t>
      </w:r>
      <w:r>
        <w:rPr>
          <w:rFonts w:hint="eastAsia" w:ascii="仿宋_GB2312" w:hAnsi="仿宋_GB2312" w:eastAsia="仿宋_GB2312" w:cs="仿宋_GB2312"/>
          <w:color w:val="auto"/>
          <w:sz w:val="32"/>
          <w:szCs w:val="32"/>
          <w:lang w:val="en-US" w:eastAsia="zh-CN"/>
        </w:rPr>
        <w:t>条  流域面积小于50平方公里的河流管理范围内建设项目实行承诺制，向所在县级水行政主管部门备案，不办理洪水影响评价类审批。总投资小于200万元且不破坏水利工程的建设项目，办理洪水影响评价类审批时可不编制论证报告。</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第十条  论证报告可由建设项目法人自行编制或委托其他单位、个人编制论证报告，审批机关不得干涉。建设单位应在建设项目开工前报请有审批权限的水行政主管部门审批，未按程序审批的，不得开工建设。</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洪水影响评价类审批行政许可有效期限为三年。对有效期限内未开工的建设项目，建设单位应当在有效期届满三十日前向做出行政许可的水行政主管部门提出延续申请或在开工前重新办理洪水影响评价类审批。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洪水影响评价类审批经许可后如在性质、规模、地点等方面有较大变动，申请人向做出行政许可的水行政主管部门申请办理审批结果变更手续。</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洪水影响评价类审批申请、受理、审查、许可决定程序所需材料、时限、手续等另行规定。</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本办法自印发之日起施行。</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附件：省水利厅管理的国家基本水文测站目录（126个）</w:t>
      </w:r>
    </w:p>
    <w:sectPr>
      <w:footerReference r:id="rId3" w:type="default"/>
      <w:pgSz w:w="11906" w:h="16838"/>
      <w:pgMar w:top="2154"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602D"/>
    <w:rsid w:val="0096329C"/>
    <w:rsid w:val="03DA1B36"/>
    <w:rsid w:val="0AB43EBC"/>
    <w:rsid w:val="0B297B99"/>
    <w:rsid w:val="0CAE0FFF"/>
    <w:rsid w:val="100936CC"/>
    <w:rsid w:val="15012E84"/>
    <w:rsid w:val="19D76523"/>
    <w:rsid w:val="1A972EEE"/>
    <w:rsid w:val="1C3E22BB"/>
    <w:rsid w:val="20BC2C59"/>
    <w:rsid w:val="248A51F6"/>
    <w:rsid w:val="25523DE8"/>
    <w:rsid w:val="2B6E19AE"/>
    <w:rsid w:val="2ED631D0"/>
    <w:rsid w:val="30947EB3"/>
    <w:rsid w:val="33AD5BFD"/>
    <w:rsid w:val="345959F6"/>
    <w:rsid w:val="367854A5"/>
    <w:rsid w:val="378F43BD"/>
    <w:rsid w:val="37985EE8"/>
    <w:rsid w:val="3AED61A5"/>
    <w:rsid w:val="3C095C2F"/>
    <w:rsid w:val="3C517D87"/>
    <w:rsid w:val="3DE766A3"/>
    <w:rsid w:val="3F5D283F"/>
    <w:rsid w:val="43F77E61"/>
    <w:rsid w:val="4437675F"/>
    <w:rsid w:val="4728620E"/>
    <w:rsid w:val="49C15CC8"/>
    <w:rsid w:val="4C300C36"/>
    <w:rsid w:val="4D0D5EA0"/>
    <w:rsid w:val="4F8E662D"/>
    <w:rsid w:val="50C641D6"/>
    <w:rsid w:val="51FE3955"/>
    <w:rsid w:val="53203D32"/>
    <w:rsid w:val="56254970"/>
    <w:rsid w:val="576D6C6F"/>
    <w:rsid w:val="59207FD0"/>
    <w:rsid w:val="59CD3890"/>
    <w:rsid w:val="5ADF34AE"/>
    <w:rsid w:val="5B5E5BE7"/>
    <w:rsid w:val="5C6E6582"/>
    <w:rsid w:val="5CDE3986"/>
    <w:rsid w:val="61F874B1"/>
    <w:rsid w:val="63C85597"/>
    <w:rsid w:val="64E33C2D"/>
    <w:rsid w:val="68701D5C"/>
    <w:rsid w:val="6CE75396"/>
    <w:rsid w:val="6D4538E9"/>
    <w:rsid w:val="6E8E21A9"/>
    <w:rsid w:val="705136BE"/>
    <w:rsid w:val="70957E3B"/>
    <w:rsid w:val="70CA6326"/>
    <w:rsid w:val="714B6E07"/>
    <w:rsid w:val="730715CC"/>
    <w:rsid w:val="73A47EB3"/>
    <w:rsid w:val="788049DB"/>
    <w:rsid w:val="79C03B97"/>
    <w:rsid w:val="7CB11925"/>
    <w:rsid w:val="7CB66204"/>
    <w:rsid w:val="7E35761A"/>
    <w:rsid w:val="7FFE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2022-09-16T01:03:36Z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