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rFonts w:hint="eastAsia" w:ascii="宋体" w:hAnsi="宋体" w:eastAsia="宋体" w:cs="宋体"/>
          <w:b w:val="0"/>
          <w:color w:val="454545"/>
          <w:sz w:val="42"/>
          <w:szCs w:val="4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42"/>
          <w:szCs w:val="42"/>
          <w:shd w:val="clear" w:fill="FFFFFF"/>
        </w:rPr>
        <w:t>改变绿化规划、绿化用地的使用性质审批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1、审批事项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改变绿化规划、绿化用地的使用性质审批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2、申请条件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1. 建设工程施工所必须的； 2.妨碍交通的； 3.改造绿化设施所必须的； 4.其他原因所必须的。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3、法定依据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《国务院对确需保留的行政审批项目设定行政许可的决定》（2004年6月29日国务院令第412号，2016年8月25日予以修改）附件第107项：改变绿化规划、绿化用地的使用性质审批,实施机关：城市人民政府绿化行政主管部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4、受理机构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许昌市建安区城市管理局行政审批股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5、办理地址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许昌市建安区（县）镜水路街道005号一楼综合受理窗口（城管窗口）；许昌市建安区魏庄街与镜水路交叉口向东100米路南建安区市民之家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6、咨询电话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0374-5771618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7、办理时间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周一至周五， 法定节假日除外 。 上午09:00-12:00 下午 13:00-17:00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8、申请材料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1.场地使用权佐证材料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2.改变绿化规划、绿化用地的使用性质申请表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3.工程建设许可材料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9、申请流程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收件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受理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审核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决定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送达</w:t>
      </w:r>
    </w:p>
    <w:bookmarkEnd w:id="0"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380A"/>
    <w:rsid w:val="23D25A00"/>
    <w:rsid w:val="45B0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2023-10-31T02:52:00Z</dcterms:created>
  <dc:creator>Administrator</dc:creator>
  <cp:lastModifiedBy>執滗々續綪</cp:lastModifiedBy>
  <dcterms:modified xsi:type="dcterms:W3CDTF">2023-11-01T02:53:29Z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