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五女店镇许鄢快速通道以北、张古路以西地块控制性详细规划</w:t>
      </w:r>
      <w:bookmarkEnd w:id="0"/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ind w:firstLine="620" w:firstLineChars="200"/>
        <w:rPr>
          <w:rFonts w:ascii="仿宋_GB2312" w:hAnsi="仿宋" w:cs="仿宋"/>
          <w:bCs/>
          <w:spacing w:val="-5"/>
        </w:rPr>
      </w:pPr>
      <w:r>
        <w:rPr>
          <w:rFonts w:hint="eastAsia" w:ascii="仿宋_GB2312" w:hAnsi="仿宋" w:cs="仿宋"/>
          <w:bCs/>
          <w:spacing w:val="-5"/>
        </w:rPr>
        <w:t>该规划地块红线内用地面积：8880平方米;绿线内用地面积：6282平方米;用地性质：商服用地；建筑限高：＜24米;建筑密度：＜50%;容积率：＜1.7;机动车停车位：≥1.0车位/100平方米建筑面积;非机动车停车位：≥5车位/100平方米建筑面积。</w:t>
      </w:r>
    </w:p>
    <w:p>
      <w:pPr>
        <w:ind w:firstLine="620" w:firstLineChars="200"/>
        <w:rPr>
          <w:rFonts w:ascii="Times New Roman" w:hAnsi="Times New Roman" w:cs="仿宋_GB2312"/>
        </w:rPr>
      </w:pPr>
      <w:r>
        <w:rPr>
          <w:rFonts w:hint="eastAsia" w:ascii="仿宋_GB2312" w:hAnsi="仿宋" w:cs="仿宋"/>
          <w:bCs/>
          <w:spacing w:val="-5"/>
        </w:rPr>
        <w:drawing>
          <wp:inline distT="0" distB="0" distL="0" distR="0">
            <wp:extent cx="5267325" cy="3324225"/>
            <wp:effectExtent l="0" t="0" r="9525" b="9525"/>
            <wp:docPr id="1" name="图片 1" descr="C:\Users\Administrator\Desktop\微信图片_20241106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41106110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cs="仿宋_GB2312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AB97CE2"/>
    <w:rsid w:val="1CE617B0"/>
    <w:rsid w:val="23AD36F3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paragraph" w:styleId="4">
    <w:name w:val="Body Text First Indent"/>
    <w:basedOn w:val="2"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24</TotalTime>
  <ScaleCrop>false</ScaleCrop>
  <LinksUpToDate>false</LinksUpToDate>
  <CharactersWithSpaces>355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Administrator</cp:lastModifiedBy>
  <cp:lastPrinted>2022-09-26T01:31:00Z</cp:lastPrinted>
  <dcterms:modified xsi:type="dcterms:W3CDTF">2024-12-02T03:30:27Z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C6ED71F7E86244008D5D0BB6F09FE78E</vt:lpwstr>
  </property>
</Properties>
</file>