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jc w:val="center"/>
        <w:rPr>
          <w:rFonts w:ascii="方正小标宋_GBK" w:hAnsi="方正小标宋_GBK" w:eastAsia="方正小标宋_GBK"/>
          <w:spacing w:val="-6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/>
          <w:spacing w:val="-6"/>
          <w:sz w:val="44"/>
          <w:szCs w:val="44"/>
          <w:lang w:val="en-US" w:eastAsia="zh-CN"/>
        </w:rPr>
        <w:t>致</w:t>
      </w:r>
      <w:r>
        <w:rPr>
          <w:rFonts w:hint="eastAsia" w:ascii="方正小标宋_GBK" w:hAnsi="方正小标宋_GBK" w:eastAsia="方正小标宋_GBK"/>
          <w:spacing w:val="-6"/>
          <w:sz w:val="44"/>
          <w:szCs w:val="44"/>
          <w:lang w:val="en-US" w:eastAsia="zh-CN"/>
        </w:rPr>
        <w:t>全区各企业</w:t>
      </w:r>
      <w:r>
        <w:rPr>
          <w:rFonts w:ascii="方正小标宋_GBK" w:hAnsi="方正小标宋_GBK" w:eastAsia="方正小标宋_GBK"/>
          <w:spacing w:val="-6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/>
          <w:spacing w:val="-6"/>
          <w:sz w:val="44"/>
          <w:szCs w:val="44"/>
          <w:lang w:val="en-US" w:eastAsia="zh-CN"/>
        </w:rPr>
        <w:t>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rPr>
          <w:rFonts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val="en-US" w:eastAsia="zh-CN"/>
        </w:rPr>
        <w:t>全区各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2023年以来，在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区委区政府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正确领导下，全区各生产经营单位全力以赴抓安全、铆足干劲促发展，在经济平稳增长的同时，守住了安全生产红线，全区安全生产形势持续平稳。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当前，我区正值企业生产活跃期、项目建设集中期、交通运输繁忙期、旅游活动旺盛期、防汛抗旱备战期，各类安全风险和事故隐患交织叠加，安全生产面临的形势严峻复杂。特别是全国个别地区发生多起重特大生产安全事故，损失惨重、教训深刻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给我们的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安全生产工作敲响了警钟。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val="en-US" w:eastAsia="zh-CN"/>
        </w:rPr>
        <w:t>自5月起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，我们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在全区范围内启动开展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了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重大事故隐患专项排查整治2023行动。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三个月来，各企业主动安排部署，深入排查整治风险隐患，取得了阶段性效果。为持续推动专项排查整治行动走深走实，我们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倡议：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  <w:t>一是扛稳安全责任，深入排查整治。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作为事故隐患排查整治责任主体的广大企业，要切实发挥好安全生产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第一责任人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主导作用，严格履行安全生产法定职责，坚决抓好防风险、除隐患、保安全各项工作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要按照《建安区重大事故隐患专项排查整治2023行动实施方案》，研究组织本企业重大事故隐患排查整治，突出电气焊等特种岗位、外包外租管理等风险隐患点，结合企业自身生产经营实际，有重点、有针对性地开展开展排查整治，健全台账资料，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切实提高隐患排查整治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实效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要对前期排查发现的问题隐患开展“回头看”，确保问题隐患彻底整改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，不断提升本质安全水平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  <w:t>二是完善安全机制，强化安全管理。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各企业要坚持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建立健全安全生产各项规章制度，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落实好全员安全生产岗位责任，充分发挥管理团队和专家作用，根据需要聘请行业领域安全生产专家强化技术指导，精准查找重大事故隐患、科学治理重大事故隐患，提高隐患排查和整改的质量。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  <w:t>三是开展教育培训，筑牢安全防线。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积极开展事故警示教育、作业安全培训，认真组织学习《重大事故隐患判定标准汇编》等，确保从业人员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熟悉有关的安全生产规章制度和安全操作规程，掌握本岗位的安全操作技能，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真正做到认识风险、规避风险、遏制风险、防范风险。要根据企业所处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行业领域事故特点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，针对性完善应急预案，定期开展应急演练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切实提升应急处置能力，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牢牢守住安全生产底线。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val="en-US" w:eastAsia="zh-CN"/>
        </w:rPr>
        <w:t>本次专项行动突出宽严相济的政策导向，对企业自查出的重大事故隐患，按规定报告并正采取有效措施消除的，依法不予行政处罚；对排查整治重视程度不够，导致重大事故隐患依然存在甚至发生事故的，依法对企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主要负责人实行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一案双罚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希望全区各企业坚持标本兼治、查治并举，以“时时放心不下”的责任感，对标对表扎实开展好重大事故隐患专项排查整治2023行动。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切实从根源上找准问题、从根本上解决问题，以高效、有力的措施，坚定不移抓紧抓实抓细重大事故隐患专项排查整治各项工作，坚决守住守牢安全底线，为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全区经济社会高质量发展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厚植安全根基。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      建安区安全生产委员会办公室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          2023年8月5日</w:t>
      </w:r>
      <w:bookmarkStart w:id="0" w:name="_GoBack"/>
      <w:bookmarkEnd w:id="0"/>
    </w:p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bRAFC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jcxMzhmMzUwMTg3YzViNzkzOGE1MDY5OWRmODcwYTAifQ=="/>
  </w:docVars>
  <w:rsids>
    <w:rsidRoot w:val="00000000"/>
    <w:rsid w:val="36090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引文目录1"/>
    <w:basedOn w:val="1"/>
    <w:uiPriority w:val="0"/>
    <w:pPr>
      <w:ind w:left="200" w:leftChars="200"/>
    </w:pPr>
  </w:style>
  <w:style w:type="paragraph" w:customStyle="1" w:styleId="8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9">
    <w:name w:val="普通(网站)1"/>
    <w:basedOn w:val="1"/>
    <w:uiPriority w:val="0"/>
    <w:rPr>
      <w:sz w:val="24"/>
    </w:rPr>
  </w:style>
  <w:style w:type="character" w:customStyle="1" w:styleId="10">
    <w:name w:val="要点1"/>
    <w:basedOn w:val="4"/>
    <w:link w:val="1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2023-08-07T08:05:53Z</dcterms:created>
  <dc:creator>冬天的阳光</dc:creator>
  <cp:lastModifiedBy>冬天的阳光</cp:lastModifiedBy>
  <dcterms:modified xsi:type="dcterms:W3CDTF">2023-08-07T08:08:51Z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B5176B1DD7A5466C8687A7AD5A005BBB_12</vt:lpwstr>
  </property>
</Properties>
</file>