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911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90" w:lineRule="atLeast"/>
        <w:ind w:left="0" w:right="0" w:firstLine="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54545"/>
          <w:spacing w:val="0"/>
          <w:sz w:val="42"/>
          <w:szCs w:val="42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54545"/>
          <w:spacing w:val="0"/>
          <w:sz w:val="42"/>
          <w:szCs w:val="42"/>
          <w:shd w:val="clear" w:fill="FFFFFF"/>
        </w:rPr>
        <w:t>建安区应急局行政处罚公示</w:t>
      </w:r>
    </w:p>
    <w:p w14:paraId="66169E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90" w:lineRule="atLeast"/>
        <w:ind w:left="0" w:right="0" w:firstLine="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54545"/>
          <w:spacing w:val="0"/>
          <w:sz w:val="42"/>
          <w:szCs w:val="42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54545"/>
          <w:spacing w:val="0"/>
          <w:sz w:val="42"/>
          <w:szCs w:val="42"/>
          <w:shd w:val="clear" w:fill="FFFFFF"/>
        </w:rPr>
        <w:t>（建安）应急罚〔202</w:t>
      </w:r>
      <w:r>
        <w:rPr>
          <w:rFonts w:hint="eastAsia" w:cs="宋体"/>
          <w:b w:val="0"/>
          <w:bCs w:val="0"/>
          <w:i w:val="0"/>
          <w:iCs w:val="0"/>
          <w:caps w:val="0"/>
          <w:color w:val="454545"/>
          <w:spacing w:val="0"/>
          <w:sz w:val="42"/>
          <w:szCs w:val="42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54545"/>
          <w:spacing w:val="0"/>
          <w:sz w:val="42"/>
          <w:szCs w:val="42"/>
          <w:shd w:val="clear" w:fill="FFFFFF"/>
        </w:rPr>
        <w:t>〕</w:t>
      </w:r>
      <w:r>
        <w:rPr>
          <w:rFonts w:hint="eastAsia" w:cs="宋体"/>
          <w:b w:val="0"/>
          <w:bCs w:val="0"/>
          <w:i w:val="0"/>
          <w:iCs w:val="0"/>
          <w:caps w:val="0"/>
          <w:color w:val="454545"/>
          <w:spacing w:val="0"/>
          <w:sz w:val="42"/>
          <w:szCs w:val="42"/>
          <w:shd w:val="clear" w:fill="FFFFFF"/>
          <w:lang w:val="en-US" w:eastAsia="zh-CN"/>
        </w:rPr>
        <w:t>执法0005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54545"/>
          <w:spacing w:val="0"/>
          <w:sz w:val="42"/>
          <w:szCs w:val="42"/>
          <w:shd w:val="clear" w:fill="FFFFFF"/>
        </w:rPr>
        <w:t>号</w:t>
      </w:r>
    </w:p>
    <w:tbl>
      <w:tblPr>
        <w:tblStyle w:val="4"/>
        <w:tblpPr w:leftFromText="180" w:rightFromText="180" w:vertAnchor="page" w:horzAnchor="page" w:tblpX="1843" w:tblpY="2990"/>
        <w:tblOverlap w:val="never"/>
        <w:tblW w:w="8314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60"/>
        <w:gridCol w:w="5854"/>
      </w:tblGrid>
      <w:tr w14:paraId="60BB4A3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371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被处罚人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850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许昌台升实业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有限公司</w:t>
            </w:r>
          </w:p>
        </w:tc>
      </w:tr>
      <w:tr w14:paraId="46EC775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9CC0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社会信用代码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D446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91411023MA44ARB73G</w:t>
            </w:r>
          </w:p>
        </w:tc>
      </w:tr>
      <w:tr w14:paraId="22AD2C6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CA6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案件名称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836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许昌台升实业有限公司特种作业人员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焊工张某某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未按照规定经专门的安全作业培训，取得相应资格擅自上岗作业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案</w:t>
            </w:r>
          </w:p>
        </w:tc>
      </w:tr>
      <w:tr w14:paraId="033EDB2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A0B9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处罚决定书文号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3399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（建安）应急罚〔202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〕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执法0005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</w:p>
        </w:tc>
      </w:tr>
      <w:tr w14:paraId="620AE2B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3884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处罚决定时间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E8A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 w14:paraId="1B03F3B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8D5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处罚结果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8B9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罚款人民币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万元</w:t>
            </w:r>
          </w:p>
        </w:tc>
      </w:tr>
      <w:tr w14:paraId="116FE9D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DD2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处罚事由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DDDE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日建安区应急管理局执法人员对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许昌台升实业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有限公司进行检查时，发现该公司焊工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张某某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未按照规定经专门的安全作业培训，取得相应资格，擅自上岗作业。</w:t>
            </w:r>
          </w:p>
        </w:tc>
      </w:tr>
      <w:tr w14:paraId="60D1E7F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E40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5DB5C67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处罚依据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397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《中华人民共和国安全生产法》第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九十七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条第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项</w:t>
            </w:r>
          </w:p>
        </w:tc>
      </w:tr>
      <w:tr w14:paraId="525B6B3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FFD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救济渠道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B6DB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行政复议或行政诉讼</w:t>
            </w:r>
          </w:p>
        </w:tc>
      </w:tr>
      <w:tr w14:paraId="7A8E15A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08FE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0CCD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7CBE92C4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89ABE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90" w:lineRule="atLeast"/>
        <w:ind w:left="0" w:right="0" w:firstLine="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54545"/>
          <w:spacing w:val="0"/>
          <w:sz w:val="42"/>
          <w:szCs w:val="42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54545"/>
          <w:spacing w:val="0"/>
          <w:sz w:val="42"/>
          <w:szCs w:val="42"/>
          <w:shd w:val="clear" w:fill="FFFFFF"/>
        </w:rPr>
        <w:t>建安区应急局行政处罚公示</w:t>
      </w:r>
    </w:p>
    <w:p w14:paraId="1F981800">
      <w:pPr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54545"/>
          <w:spacing w:val="0"/>
          <w:sz w:val="42"/>
          <w:szCs w:val="42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54545"/>
          <w:spacing w:val="0"/>
          <w:sz w:val="42"/>
          <w:szCs w:val="42"/>
          <w:shd w:val="clear" w:fill="FFFFFF"/>
        </w:rPr>
        <w:t>（建安）应急罚〔202</w:t>
      </w:r>
      <w:r>
        <w:rPr>
          <w:rFonts w:hint="eastAsia" w:cs="宋体"/>
          <w:b w:val="0"/>
          <w:bCs w:val="0"/>
          <w:i w:val="0"/>
          <w:iCs w:val="0"/>
          <w:caps w:val="0"/>
          <w:color w:val="454545"/>
          <w:spacing w:val="0"/>
          <w:sz w:val="42"/>
          <w:szCs w:val="42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54545"/>
          <w:spacing w:val="0"/>
          <w:sz w:val="42"/>
          <w:szCs w:val="42"/>
          <w:shd w:val="clear" w:fill="FFFFFF"/>
        </w:rPr>
        <w:t>〕</w:t>
      </w:r>
      <w:r>
        <w:rPr>
          <w:rFonts w:hint="eastAsia" w:cs="宋体"/>
          <w:b w:val="0"/>
          <w:bCs w:val="0"/>
          <w:i w:val="0"/>
          <w:iCs w:val="0"/>
          <w:caps w:val="0"/>
          <w:color w:val="454545"/>
          <w:spacing w:val="0"/>
          <w:sz w:val="42"/>
          <w:szCs w:val="42"/>
          <w:shd w:val="clear" w:fill="FFFFFF"/>
          <w:lang w:val="en-US" w:eastAsia="zh-CN"/>
        </w:rPr>
        <w:t>执法0006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54545"/>
          <w:spacing w:val="0"/>
          <w:sz w:val="42"/>
          <w:szCs w:val="42"/>
          <w:shd w:val="clear" w:fill="FFFFFF"/>
        </w:rPr>
        <w:t>号</w:t>
      </w:r>
    </w:p>
    <w:tbl>
      <w:tblPr>
        <w:tblStyle w:val="4"/>
        <w:tblpPr w:leftFromText="180" w:rightFromText="180" w:vertAnchor="page" w:horzAnchor="page" w:tblpX="1843" w:tblpY="2990"/>
        <w:tblOverlap w:val="never"/>
        <w:tblW w:w="8314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60"/>
        <w:gridCol w:w="5854"/>
      </w:tblGrid>
      <w:tr w14:paraId="130AEB5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EC43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被处罚人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F750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马某某</w:t>
            </w:r>
          </w:p>
        </w:tc>
      </w:tr>
      <w:tr w14:paraId="63A609B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E748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社会信用代码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C38D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自然人</w:t>
            </w:r>
          </w:p>
        </w:tc>
      </w:tr>
      <w:tr w14:paraId="575988E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0890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案件名称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413C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许昌伟程发制品有限公司主要负责人未履行安全生产管理职责案</w:t>
            </w:r>
          </w:p>
        </w:tc>
      </w:tr>
      <w:tr w14:paraId="5E39CC9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1927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处罚决定书文号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F036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（建安）应急罚〔202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〕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执法0006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</w:p>
        </w:tc>
      </w:tr>
      <w:tr w14:paraId="367F264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650A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处罚决定时间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21E6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 w14:paraId="0018606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0D5C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处罚结果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179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罚款人民币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万元</w:t>
            </w:r>
          </w:p>
        </w:tc>
      </w:tr>
      <w:tr w14:paraId="63442C0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3BD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处罚事由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D11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7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日建安区应急管理局执法人员对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许昌伟程发制品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有限公司进行检查时，发现该公司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主要负责人马某某未组织制定并实施2024年本单位安全生产教育和培训计划。</w:t>
            </w:r>
          </w:p>
        </w:tc>
      </w:tr>
      <w:tr w14:paraId="5722937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F144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555E827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处罚依据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DBA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《中华人民共和国安全生产法》第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九十四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条第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一款</w:t>
            </w:r>
          </w:p>
        </w:tc>
      </w:tr>
      <w:tr w14:paraId="7CAA345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CCD2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救济渠道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F49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行政复议或行政诉讼</w:t>
            </w:r>
          </w:p>
        </w:tc>
      </w:tr>
      <w:tr w14:paraId="2D3E412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0375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8F51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6C2B1AAA">
      <w:p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54545"/>
          <w:spacing w:val="0"/>
          <w:sz w:val="42"/>
          <w:szCs w:val="42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xNTBkZDJkZDQ2MTg4NTFlYjEzZGZkZTRjOWYyZDkifQ=="/>
  </w:docVars>
  <w:rsids>
    <w:rsidRoot w:val="4A0B4034"/>
    <w:rsid w:val="4A0B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2024-08-20T03:56:00Z</dcterms:created>
  <dc:creator>WPS_1674978235</dc:creator>
  <cp:lastModifiedBy>WPS_1674978235</cp:lastModifiedBy>
  <dcterms:modified xsi:type="dcterms:W3CDTF">2024-08-20T04:00:08Z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74028A59B81043369B7E41A4CCC726AE_11</vt:lpwstr>
  </property>
</Properties>
</file>