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Calibri" w:eastAsia="方正小标宋_GBK"/>
          <w:spacing w:val="-20"/>
          <w:sz w:val="44"/>
          <w:szCs w:val="44"/>
        </w:rPr>
      </w:pPr>
      <w:bookmarkStart w:id="0" w:name="_GoBack"/>
      <w:r>
        <w:rPr>
          <w:rFonts w:hint="eastAsia" w:ascii="方正小标宋_GBK" w:hAnsi="Calibri" w:eastAsia="方正小标宋_GBK"/>
          <w:spacing w:val="-20"/>
          <w:sz w:val="44"/>
          <w:szCs w:val="44"/>
        </w:rPr>
        <w:t>河南省消防安全重点单位界定标准</w:t>
      </w:r>
      <w:bookmarkEnd w:id="0"/>
    </w:p>
    <w:p>
      <w:pPr>
        <w:rPr>
          <w:rFonts w:hint="eastAsia" w:ascii="Calibri" w:hAnsi="Calibri"/>
        </w:rPr>
      </w:pPr>
    </w:p>
    <w:p>
      <w:pPr>
        <w:spacing w:line="600" w:lineRule="exact"/>
        <w:ind w:firstLine="640" w:firstLineChars="200"/>
        <w:rPr>
          <w:rFonts w:hint="eastAsia" w:ascii="方正黑体_GBK" w:eastAsia="方正黑体_GBK"/>
          <w:sz w:val="32"/>
          <w:szCs w:val="32"/>
        </w:rPr>
      </w:pPr>
      <w:r>
        <w:rPr>
          <w:rFonts w:hint="eastAsia" w:ascii="方正黑体_GBK" w:eastAsia="方正黑体_GBK"/>
          <w:sz w:val="32"/>
          <w:szCs w:val="32"/>
        </w:rPr>
        <w:t>一、商场（市场）、宾馆（饭店）、体育场（馆）、会堂、公共娱乐场所等：</w:t>
      </w:r>
    </w:p>
    <w:p>
      <w:pPr>
        <w:spacing w:line="600" w:lineRule="exact"/>
        <w:ind w:firstLine="640" w:firstLineChars="200"/>
        <w:rPr>
          <w:rFonts w:eastAsia="方正仿宋_GBK"/>
          <w:sz w:val="32"/>
          <w:szCs w:val="32"/>
        </w:rPr>
      </w:pPr>
      <w:r>
        <w:rPr>
          <w:rFonts w:eastAsia="方正仿宋_GBK"/>
          <w:sz w:val="32"/>
          <w:szCs w:val="32"/>
        </w:rPr>
        <w:t>（一）建筑面积在3000平方米（含本数，下同）以上经营可燃商品的商场；</w:t>
      </w:r>
    </w:p>
    <w:p>
      <w:pPr>
        <w:spacing w:line="600" w:lineRule="exact"/>
        <w:ind w:firstLine="640" w:firstLineChars="200"/>
        <w:rPr>
          <w:rFonts w:eastAsia="方正仿宋_GBK"/>
          <w:sz w:val="32"/>
          <w:szCs w:val="32"/>
        </w:rPr>
      </w:pPr>
      <w:r>
        <w:rPr>
          <w:rFonts w:eastAsia="方正仿宋_GBK"/>
          <w:sz w:val="32"/>
          <w:szCs w:val="32"/>
        </w:rPr>
        <w:t>（二）建筑面积在10000平方米以上的市场；</w:t>
      </w:r>
    </w:p>
    <w:p>
      <w:pPr>
        <w:spacing w:line="600" w:lineRule="exact"/>
        <w:ind w:firstLine="640" w:firstLineChars="200"/>
        <w:rPr>
          <w:rFonts w:eastAsia="方正仿宋_GBK"/>
          <w:sz w:val="32"/>
          <w:szCs w:val="32"/>
        </w:rPr>
      </w:pPr>
      <w:r>
        <w:rPr>
          <w:rFonts w:eastAsia="方正仿宋_GBK"/>
          <w:sz w:val="32"/>
          <w:szCs w:val="32"/>
        </w:rPr>
        <w:t>（三）客房数在100间以上，或客房数在100间以下但内设商场、足浴、歌舞娱乐场所等且总建筑面积大于3000平方米的宾馆，或同一建筑内设有多家宾馆且客房总数在100间以上的建筑产权或管理单位；</w:t>
      </w:r>
    </w:p>
    <w:p>
      <w:pPr>
        <w:spacing w:line="600" w:lineRule="exact"/>
        <w:ind w:firstLine="640" w:firstLineChars="200"/>
        <w:rPr>
          <w:rFonts w:eastAsia="方正仿宋_GBK"/>
          <w:sz w:val="32"/>
          <w:szCs w:val="32"/>
        </w:rPr>
      </w:pPr>
      <w:r>
        <w:rPr>
          <w:rFonts w:eastAsia="方正仿宋_GBK"/>
          <w:sz w:val="32"/>
          <w:szCs w:val="32"/>
        </w:rPr>
        <w:t>（四）建筑面积在500平方米以上的旅游民宿；</w:t>
      </w:r>
    </w:p>
    <w:p>
      <w:pPr>
        <w:spacing w:line="600" w:lineRule="exact"/>
        <w:ind w:firstLine="640" w:firstLineChars="200"/>
        <w:rPr>
          <w:rFonts w:eastAsia="方正仿宋_GBK"/>
          <w:sz w:val="32"/>
          <w:szCs w:val="32"/>
        </w:rPr>
      </w:pPr>
      <w:r>
        <w:rPr>
          <w:rFonts w:eastAsia="方正仿宋_GBK"/>
          <w:sz w:val="32"/>
          <w:szCs w:val="32"/>
        </w:rPr>
        <w:t>（五）建筑面积在1500平方米以上的餐饮企业；</w:t>
      </w:r>
    </w:p>
    <w:p>
      <w:pPr>
        <w:spacing w:line="600" w:lineRule="exact"/>
        <w:ind w:firstLine="640" w:firstLineChars="200"/>
        <w:rPr>
          <w:rFonts w:eastAsia="方正仿宋_GBK"/>
          <w:sz w:val="32"/>
          <w:szCs w:val="32"/>
        </w:rPr>
      </w:pPr>
      <w:r>
        <w:rPr>
          <w:rFonts w:eastAsia="方正仿宋_GBK"/>
          <w:sz w:val="32"/>
          <w:szCs w:val="32"/>
        </w:rPr>
        <w:t>（六）公共的体育场馆、会堂、礼堂；</w:t>
      </w:r>
    </w:p>
    <w:p>
      <w:pPr>
        <w:spacing w:line="600" w:lineRule="exact"/>
        <w:ind w:firstLine="640" w:firstLineChars="200"/>
        <w:rPr>
          <w:rFonts w:eastAsia="方正仿宋_GBK"/>
          <w:sz w:val="32"/>
          <w:szCs w:val="32"/>
        </w:rPr>
      </w:pPr>
      <w:r>
        <w:rPr>
          <w:rFonts w:eastAsia="方正仿宋_GBK"/>
          <w:sz w:val="32"/>
          <w:szCs w:val="32"/>
        </w:rPr>
        <w:t>（七）建筑面积在1000平方米以上或设置在地下、半地下的电影院、剧场等演出放映场所；</w:t>
      </w:r>
    </w:p>
    <w:p>
      <w:pPr>
        <w:spacing w:line="600" w:lineRule="exact"/>
        <w:ind w:firstLine="640" w:firstLineChars="200"/>
        <w:rPr>
          <w:rFonts w:eastAsia="方正仿宋_GBK"/>
          <w:sz w:val="32"/>
          <w:szCs w:val="32"/>
        </w:rPr>
      </w:pPr>
      <w:r>
        <w:rPr>
          <w:rFonts w:eastAsia="方正仿宋_GBK"/>
          <w:sz w:val="32"/>
          <w:szCs w:val="32"/>
        </w:rPr>
        <w:t>（八）建筑面积在500平方米以上或设置在地下、半地下的歌舞厅、卡拉OK厅、夜总会、游艺厅、网吧等娱乐场所，以及具有娱乐功能的餐馆、茶馆、咖啡厅等；</w:t>
      </w:r>
    </w:p>
    <w:p>
      <w:pPr>
        <w:spacing w:line="600" w:lineRule="exact"/>
        <w:ind w:firstLine="640" w:firstLineChars="200"/>
        <w:rPr>
          <w:rFonts w:eastAsia="方正仿宋_GBK"/>
          <w:sz w:val="32"/>
          <w:szCs w:val="32"/>
        </w:rPr>
      </w:pPr>
      <w:r>
        <w:rPr>
          <w:rFonts w:eastAsia="方正仿宋_GBK"/>
          <w:sz w:val="32"/>
          <w:szCs w:val="32"/>
        </w:rPr>
        <w:t>（九）建筑面积在500平方米以上的剧本杀、密室逃脱等剧本娱乐经营场所；</w:t>
      </w:r>
    </w:p>
    <w:p>
      <w:pPr>
        <w:spacing w:line="600" w:lineRule="exact"/>
        <w:ind w:firstLine="640" w:firstLineChars="200"/>
        <w:rPr>
          <w:rFonts w:eastAsia="方正仿宋_GBK"/>
          <w:sz w:val="32"/>
          <w:szCs w:val="32"/>
        </w:rPr>
      </w:pPr>
      <w:r>
        <w:rPr>
          <w:rFonts w:eastAsia="方正仿宋_GBK"/>
          <w:sz w:val="32"/>
          <w:szCs w:val="32"/>
        </w:rPr>
        <w:t>（十）建筑面积在1000平方米以上的健身房、美容院、足浴、桑拿浴室（洗浴部分面积除外）等营业性健身、休闲场所；</w:t>
      </w:r>
    </w:p>
    <w:p>
      <w:pPr>
        <w:spacing w:line="600" w:lineRule="exact"/>
        <w:ind w:firstLine="640" w:firstLineChars="200"/>
        <w:rPr>
          <w:rFonts w:eastAsia="方正仿宋_GBK"/>
          <w:sz w:val="32"/>
          <w:szCs w:val="32"/>
        </w:rPr>
      </w:pPr>
      <w:r>
        <w:rPr>
          <w:rFonts w:eastAsia="方正仿宋_GBK"/>
          <w:sz w:val="32"/>
          <w:szCs w:val="32"/>
        </w:rPr>
        <w:t>（十一）建筑面积在1000平方米以上的室内冰雪活动场所</w:t>
      </w:r>
      <w:r>
        <w:rPr>
          <w:rFonts w:hint="eastAsia" w:eastAsia="方正仿宋_GBK"/>
          <w:sz w:val="32"/>
          <w:szCs w:val="32"/>
        </w:rPr>
        <w:t>。</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二、医院、养老院和学校、托儿所、幼儿园：</w:t>
      </w:r>
    </w:p>
    <w:p>
      <w:pPr>
        <w:spacing w:line="600" w:lineRule="exact"/>
        <w:ind w:firstLine="640" w:firstLineChars="200"/>
        <w:rPr>
          <w:rFonts w:eastAsia="方正仿宋_GBK"/>
          <w:sz w:val="32"/>
          <w:szCs w:val="32"/>
        </w:rPr>
      </w:pPr>
      <w:r>
        <w:rPr>
          <w:rFonts w:eastAsia="方正仿宋_GBK"/>
          <w:sz w:val="32"/>
          <w:szCs w:val="32"/>
        </w:rPr>
        <w:t>（一）住院床位在100张以上的医院、医养机构、康复机构；</w:t>
      </w:r>
    </w:p>
    <w:p>
      <w:pPr>
        <w:spacing w:line="600" w:lineRule="exact"/>
        <w:ind w:firstLine="640" w:firstLineChars="200"/>
        <w:rPr>
          <w:rFonts w:eastAsia="方正仿宋_GBK"/>
          <w:sz w:val="32"/>
          <w:szCs w:val="32"/>
        </w:rPr>
      </w:pPr>
      <w:r>
        <w:rPr>
          <w:rFonts w:eastAsia="方正仿宋_GBK"/>
          <w:sz w:val="32"/>
          <w:szCs w:val="32"/>
        </w:rPr>
        <w:t>（二）住宿床位在50张以上的月子中心等孕婴服务场所；</w:t>
      </w:r>
    </w:p>
    <w:p>
      <w:pPr>
        <w:spacing w:line="600" w:lineRule="exact"/>
        <w:ind w:firstLine="640" w:firstLineChars="200"/>
        <w:rPr>
          <w:rFonts w:eastAsia="方正仿宋_GBK"/>
          <w:sz w:val="32"/>
          <w:szCs w:val="32"/>
        </w:rPr>
      </w:pPr>
      <w:r>
        <w:rPr>
          <w:rFonts w:eastAsia="方正仿宋_GBK"/>
          <w:sz w:val="32"/>
          <w:szCs w:val="32"/>
        </w:rPr>
        <w:t>（三）住宿床位在50张以上的养老院、敬老院、福利院；</w:t>
      </w:r>
    </w:p>
    <w:p>
      <w:pPr>
        <w:spacing w:line="600" w:lineRule="exact"/>
        <w:ind w:firstLine="640" w:firstLineChars="200"/>
        <w:rPr>
          <w:rFonts w:eastAsia="方正仿宋_GBK"/>
          <w:sz w:val="32"/>
          <w:szCs w:val="32"/>
        </w:rPr>
      </w:pPr>
      <w:r>
        <w:rPr>
          <w:rFonts w:eastAsia="方正仿宋_GBK"/>
          <w:sz w:val="32"/>
          <w:szCs w:val="32"/>
        </w:rPr>
        <w:t>（四）住宿床位在300张以上的寄宿制学校；</w:t>
      </w:r>
    </w:p>
    <w:p>
      <w:pPr>
        <w:spacing w:line="600" w:lineRule="exact"/>
        <w:ind w:firstLine="640" w:firstLineChars="200"/>
        <w:rPr>
          <w:rFonts w:eastAsia="方正仿宋_GBK"/>
          <w:sz w:val="32"/>
          <w:szCs w:val="32"/>
        </w:rPr>
      </w:pPr>
      <w:r>
        <w:rPr>
          <w:rFonts w:eastAsia="方正仿宋_GBK"/>
          <w:sz w:val="32"/>
          <w:szCs w:val="32"/>
        </w:rPr>
        <w:t>（五）大型幼儿园、托儿所，住宿床位在50张以上的寄宿制幼儿园、托儿所。</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三、国家机关：</w:t>
      </w:r>
    </w:p>
    <w:p>
      <w:pPr>
        <w:spacing w:line="600" w:lineRule="exact"/>
        <w:ind w:firstLine="640" w:firstLineChars="200"/>
        <w:rPr>
          <w:rFonts w:eastAsia="方正仿宋_GBK"/>
          <w:sz w:val="32"/>
          <w:szCs w:val="32"/>
        </w:rPr>
      </w:pPr>
      <w:r>
        <w:rPr>
          <w:rFonts w:eastAsia="方正仿宋_GBK"/>
          <w:sz w:val="32"/>
          <w:szCs w:val="32"/>
        </w:rPr>
        <w:t>县级以上的党委、人大、政府、政协。</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四、广播电视和邮政、通信枢纽：</w:t>
      </w:r>
    </w:p>
    <w:p>
      <w:pPr>
        <w:spacing w:line="600" w:lineRule="exact"/>
        <w:ind w:firstLine="640" w:firstLineChars="200"/>
        <w:rPr>
          <w:rFonts w:eastAsia="方正仿宋_GBK"/>
          <w:sz w:val="32"/>
          <w:szCs w:val="32"/>
        </w:rPr>
      </w:pPr>
      <w:r>
        <w:rPr>
          <w:rFonts w:eastAsia="方正仿宋_GBK"/>
          <w:sz w:val="32"/>
          <w:szCs w:val="32"/>
        </w:rPr>
        <w:t>（一）县级以上广播电视台；</w:t>
      </w:r>
    </w:p>
    <w:p>
      <w:pPr>
        <w:spacing w:line="600" w:lineRule="exact"/>
        <w:ind w:firstLine="640" w:firstLineChars="200"/>
        <w:rPr>
          <w:rFonts w:eastAsia="方正仿宋_GBK"/>
          <w:sz w:val="32"/>
          <w:szCs w:val="32"/>
        </w:rPr>
      </w:pPr>
      <w:r>
        <w:rPr>
          <w:rFonts w:eastAsia="方正仿宋_GBK"/>
          <w:sz w:val="32"/>
          <w:szCs w:val="32"/>
        </w:rPr>
        <w:t>（二）县级以上邮政、通信枢纽单位；</w:t>
      </w:r>
    </w:p>
    <w:p>
      <w:pPr>
        <w:spacing w:line="600" w:lineRule="exact"/>
        <w:ind w:firstLine="640" w:firstLineChars="200"/>
        <w:rPr>
          <w:rFonts w:eastAsia="方正仿宋_GBK"/>
          <w:sz w:val="32"/>
          <w:szCs w:val="32"/>
        </w:rPr>
      </w:pPr>
      <w:r>
        <w:rPr>
          <w:rFonts w:eastAsia="方正仿宋_GBK"/>
          <w:sz w:val="32"/>
          <w:szCs w:val="32"/>
        </w:rPr>
        <w:t>（三）县级以上数据中心。</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五、客运车站、码头、民用机场：</w:t>
      </w:r>
    </w:p>
    <w:p>
      <w:pPr>
        <w:spacing w:line="600" w:lineRule="exact"/>
        <w:ind w:firstLine="640" w:firstLineChars="200"/>
        <w:rPr>
          <w:rFonts w:eastAsia="方正仿宋_GBK"/>
          <w:sz w:val="32"/>
          <w:szCs w:val="32"/>
        </w:rPr>
      </w:pPr>
      <w:r>
        <w:rPr>
          <w:rFonts w:eastAsia="方正仿宋_GBK"/>
          <w:sz w:val="32"/>
          <w:szCs w:val="32"/>
        </w:rPr>
        <w:t>（一）建筑面积在500平方米以上的客运车站候车厅、客运码头候船厅；</w:t>
      </w:r>
    </w:p>
    <w:p>
      <w:pPr>
        <w:spacing w:line="600" w:lineRule="exact"/>
        <w:ind w:firstLine="640" w:firstLineChars="200"/>
        <w:rPr>
          <w:rFonts w:eastAsia="方正仿宋_GBK"/>
          <w:sz w:val="32"/>
          <w:szCs w:val="32"/>
        </w:rPr>
      </w:pPr>
      <w:r>
        <w:rPr>
          <w:rFonts w:eastAsia="方正仿宋_GBK"/>
          <w:sz w:val="32"/>
          <w:szCs w:val="32"/>
        </w:rPr>
        <w:t>（二）大型以上港口调度指挥场所；</w:t>
      </w:r>
    </w:p>
    <w:p>
      <w:pPr>
        <w:spacing w:line="600" w:lineRule="exact"/>
        <w:ind w:firstLine="640" w:firstLineChars="200"/>
        <w:rPr>
          <w:rFonts w:eastAsia="方正仿宋_GBK"/>
          <w:sz w:val="32"/>
          <w:szCs w:val="32"/>
        </w:rPr>
      </w:pPr>
      <w:r>
        <w:rPr>
          <w:rFonts w:eastAsia="方正仿宋_GBK"/>
          <w:sz w:val="32"/>
          <w:szCs w:val="32"/>
        </w:rPr>
        <w:t>（三）民用机场航站楼。</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六、公共图书馆、展览馆、博物馆、档案馆，以及具有火灾危险性的文物保护单位、宗教活动场所、旅游</w:t>
      </w:r>
      <w:r>
        <w:rPr>
          <w:rFonts w:hint="eastAsia" w:ascii="方正黑体_GBK" w:eastAsia="方正黑体_GBK"/>
          <w:sz w:val="32"/>
          <w:szCs w:val="32"/>
        </w:rPr>
        <w:t>景区</w:t>
      </w:r>
      <w:r>
        <w:rPr>
          <w:rFonts w:ascii="方正黑体_GBK" w:eastAsia="方正黑体_GBK"/>
          <w:sz w:val="32"/>
          <w:szCs w:val="32"/>
        </w:rPr>
        <w:t>：</w:t>
      </w:r>
    </w:p>
    <w:p>
      <w:pPr>
        <w:spacing w:line="600" w:lineRule="exact"/>
        <w:ind w:firstLine="640" w:firstLineChars="200"/>
        <w:rPr>
          <w:rFonts w:eastAsia="方正仿宋_GBK"/>
          <w:sz w:val="32"/>
          <w:szCs w:val="32"/>
        </w:rPr>
      </w:pPr>
      <w:r>
        <w:rPr>
          <w:rFonts w:eastAsia="方正仿宋_GBK"/>
          <w:sz w:val="32"/>
          <w:szCs w:val="32"/>
        </w:rPr>
        <w:t>（一）建筑面积在2000平方米以上的公共图书馆、展览馆；</w:t>
      </w:r>
    </w:p>
    <w:p>
      <w:pPr>
        <w:spacing w:line="600" w:lineRule="exact"/>
        <w:ind w:firstLine="640" w:firstLineChars="200"/>
        <w:rPr>
          <w:rFonts w:eastAsia="方正仿宋_GBK"/>
          <w:sz w:val="32"/>
          <w:szCs w:val="32"/>
        </w:rPr>
      </w:pPr>
      <w:r>
        <w:rPr>
          <w:rFonts w:eastAsia="方正仿宋_GBK"/>
          <w:sz w:val="32"/>
          <w:szCs w:val="32"/>
        </w:rPr>
        <w:t>（二）公共博物馆、档案馆；</w:t>
      </w:r>
    </w:p>
    <w:p>
      <w:pPr>
        <w:spacing w:line="600" w:lineRule="exact"/>
        <w:ind w:firstLine="640" w:firstLineChars="200"/>
        <w:rPr>
          <w:rFonts w:eastAsia="方正仿宋_GBK"/>
          <w:sz w:val="32"/>
          <w:szCs w:val="32"/>
        </w:rPr>
      </w:pPr>
      <w:r>
        <w:rPr>
          <w:rFonts w:eastAsia="方正仿宋_GBK"/>
          <w:sz w:val="32"/>
          <w:szCs w:val="32"/>
        </w:rPr>
        <w:t>（三）具有火灾危险性的市级以上文物保护单位；</w:t>
      </w:r>
    </w:p>
    <w:p>
      <w:pPr>
        <w:spacing w:line="600" w:lineRule="exact"/>
        <w:ind w:firstLine="640" w:firstLineChars="200"/>
        <w:rPr>
          <w:rFonts w:eastAsia="方正仿宋_GBK"/>
          <w:sz w:val="32"/>
          <w:szCs w:val="32"/>
        </w:rPr>
      </w:pPr>
      <w:r>
        <w:rPr>
          <w:rFonts w:eastAsia="方正仿宋_GBK"/>
          <w:sz w:val="32"/>
          <w:szCs w:val="32"/>
        </w:rPr>
        <w:t>（四）建筑面积在2000平方米以上的宗教活动场所；</w:t>
      </w:r>
    </w:p>
    <w:p>
      <w:pPr>
        <w:spacing w:line="600" w:lineRule="exact"/>
        <w:ind w:firstLine="640" w:firstLineChars="200"/>
        <w:rPr>
          <w:rFonts w:eastAsia="方正仿宋_GBK"/>
          <w:sz w:val="32"/>
          <w:szCs w:val="32"/>
        </w:rPr>
      </w:pPr>
      <w:r>
        <w:rPr>
          <w:rFonts w:eastAsia="方正仿宋_GBK"/>
          <w:sz w:val="32"/>
          <w:szCs w:val="32"/>
        </w:rPr>
        <w:t>（五）4A级以上具有建筑火灾危险性的旅游景区。</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七、发电厂（站）和电网经营企业</w:t>
      </w:r>
      <w:r>
        <w:rPr>
          <w:rFonts w:hint="eastAsia" w:ascii="方正黑体_GBK" w:eastAsia="方正黑体_GBK"/>
          <w:sz w:val="32"/>
          <w:szCs w:val="32"/>
        </w:rPr>
        <w:t>：</w:t>
      </w:r>
    </w:p>
    <w:p>
      <w:pPr>
        <w:spacing w:line="600" w:lineRule="exact"/>
        <w:ind w:firstLine="640" w:firstLineChars="200"/>
        <w:rPr>
          <w:rFonts w:eastAsia="方正仿宋_GBK"/>
          <w:sz w:val="32"/>
          <w:szCs w:val="32"/>
        </w:rPr>
      </w:pPr>
      <w:r>
        <w:rPr>
          <w:rFonts w:eastAsia="方正仿宋_GBK"/>
          <w:sz w:val="32"/>
          <w:szCs w:val="32"/>
        </w:rPr>
        <w:t>（一）火力、水力发电厂（站）；</w:t>
      </w:r>
    </w:p>
    <w:p>
      <w:pPr>
        <w:spacing w:line="600" w:lineRule="exact"/>
        <w:ind w:firstLine="640" w:firstLineChars="200"/>
        <w:rPr>
          <w:rFonts w:eastAsia="方正仿宋_GBK"/>
          <w:sz w:val="32"/>
          <w:szCs w:val="32"/>
        </w:rPr>
      </w:pPr>
      <w:r>
        <w:rPr>
          <w:rFonts w:eastAsia="方正仿宋_GBK"/>
          <w:sz w:val="32"/>
          <w:szCs w:val="32"/>
        </w:rPr>
        <w:t>（二）县级以上电力调度单位；</w:t>
      </w:r>
    </w:p>
    <w:p>
      <w:pPr>
        <w:pStyle w:val="2"/>
        <w:ind w:firstLine="640" w:firstLineChars="200"/>
        <w:rPr>
          <w:rFonts w:eastAsia="方正仿宋_GBK"/>
          <w:sz w:val="32"/>
          <w:szCs w:val="32"/>
        </w:rPr>
      </w:pPr>
      <w:r>
        <w:rPr>
          <w:rFonts w:hint="eastAsia" w:eastAsia="方正仿宋_GBK"/>
          <w:sz w:val="32"/>
          <w:szCs w:val="32"/>
          <w:lang w:val="en-US" w:eastAsia="zh-CN"/>
        </w:rPr>
        <w:t>（三）功率为30MW且容量为30MW·h及以上的电化学储能电站。</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八、易燃易爆化学物品的生产、充装、储存、供应、销售单位：</w:t>
      </w:r>
    </w:p>
    <w:p>
      <w:pPr>
        <w:spacing w:line="600" w:lineRule="exact"/>
        <w:ind w:firstLine="640" w:firstLineChars="200"/>
        <w:rPr>
          <w:rFonts w:eastAsia="方正仿宋_GBK"/>
          <w:sz w:val="32"/>
          <w:szCs w:val="32"/>
        </w:rPr>
      </w:pPr>
      <w:r>
        <w:rPr>
          <w:rFonts w:eastAsia="方正仿宋_GBK"/>
          <w:sz w:val="32"/>
          <w:szCs w:val="32"/>
        </w:rPr>
        <w:t>（一）一级汽车加油站、加气站、加氢站及合建站，城市建成区范围内二级汽车加油站、加气站、加氢站及合建站</w:t>
      </w:r>
      <w:r>
        <w:rPr>
          <w:rFonts w:hint="eastAsia" w:eastAsia="方正仿宋_GBK"/>
          <w:sz w:val="32"/>
          <w:szCs w:val="32"/>
        </w:rPr>
        <w:t>；</w:t>
      </w:r>
    </w:p>
    <w:p>
      <w:pPr>
        <w:spacing w:line="600" w:lineRule="exact"/>
        <w:ind w:firstLine="640" w:firstLineChars="200"/>
        <w:rPr>
          <w:rFonts w:hint="eastAsia" w:eastAsia="方正仿宋_GBK"/>
          <w:lang w:val="en-US" w:eastAsia="zh-CN"/>
        </w:rPr>
      </w:pPr>
      <w:r>
        <w:rPr>
          <w:rFonts w:eastAsia="方正仿宋_GBK"/>
          <w:sz w:val="32"/>
          <w:szCs w:val="32"/>
        </w:rPr>
        <w:t>（二）危险化学品重大危险源中的生产、充装、储存、供应、销售易燃、易爆类化学物品的单位</w:t>
      </w:r>
      <w:r>
        <w:rPr>
          <w:rFonts w:hint="eastAsia" w:eastAsia="方正仿宋_GBK"/>
          <w:sz w:val="32"/>
          <w:szCs w:val="32"/>
          <w:lang w:eastAsia="zh-CN"/>
        </w:rPr>
        <w:t>。</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九、生产、加工企业</w:t>
      </w:r>
      <w:r>
        <w:rPr>
          <w:rFonts w:hint="eastAsia" w:ascii="方正黑体_GBK" w:eastAsia="方正黑体_GBK"/>
          <w:sz w:val="32"/>
          <w:szCs w:val="32"/>
        </w:rPr>
        <w:t>：</w:t>
      </w:r>
    </w:p>
    <w:p>
      <w:pPr>
        <w:spacing w:line="600" w:lineRule="exact"/>
        <w:ind w:firstLine="640" w:firstLineChars="200"/>
        <w:rPr>
          <w:rFonts w:eastAsia="方正仿宋_GBK"/>
          <w:sz w:val="32"/>
          <w:szCs w:val="32"/>
        </w:rPr>
      </w:pPr>
      <w:r>
        <w:rPr>
          <w:rFonts w:eastAsia="方正仿宋_GBK"/>
          <w:sz w:val="32"/>
          <w:szCs w:val="32"/>
        </w:rPr>
        <w:t>（一）单个生产车间员工人数在100人以上的服装、鞋帽、玩具、木制品、家具、塑料、食品加工、纺织、印染、印刷产品等企业；</w:t>
      </w:r>
    </w:p>
    <w:p>
      <w:pPr>
        <w:spacing w:line="600" w:lineRule="exact"/>
        <w:ind w:firstLine="640" w:firstLineChars="200"/>
        <w:rPr>
          <w:rFonts w:eastAsia="方正仿宋_GBK"/>
          <w:sz w:val="32"/>
          <w:szCs w:val="32"/>
        </w:rPr>
      </w:pPr>
      <w:r>
        <w:rPr>
          <w:rFonts w:eastAsia="方正仿宋_GBK"/>
          <w:sz w:val="32"/>
          <w:szCs w:val="32"/>
        </w:rPr>
        <w:t>（二）</w:t>
      </w:r>
      <w:r>
        <w:rPr>
          <w:rFonts w:hint="eastAsia" w:eastAsia="方正仿宋_GBK"/>
          <w:sz w:val="32"/>
          <w:szCs w:val="32"/>
        </w:rPr>
        <w:t>同一建筑内存在多个服装、鞋帽、玩具、木制品、家具、塑料、食品加工、纺织、印染、印刷产品等企业且生产车间员工总人数在100人以上的建筑产权或管理单位；</w:t>
      </w:r>
    </w:p>
    <w:p>
      <w:pPr>
        <w:spacing w:line="600" w:lineRule="exact"/>
        <w:ind w:firstLine="640" w:firstLineChars="200"/>
        <w:rPr>
          <w:rFonts w:eastAsia="方正仿宋_GBK"/>
          <w:sz w:val="32"/>
          <w:szCs w:val="32"/>
        </w:rPr>
      </w:pPr>
      <w:r>
        <w:rPr>
          <w:rFonts w:eastAsia="方正仿宋_GBK"/>
          <w:sz w:val="32"/>
          <w:szCs w:val="32"/>
        </w:rPr>
        <w:t>（三）同一建筑内存在多个企业且生产车间员工总人数在100人以上的建筑产权或管理单位；</w:t>
      </w:r>
    </w:p>
    <w:p>
      <w:pPr>
        <w:spacing w:line="600" w:lineRule="exact"/>
        <w:ind w:firstLine="640" w:firstLineChars="200"/>
        <w:rPr>
          <w:rFonts w:eastAsia="方正仿宋_GBK"/>
          <w:sz w:val="32"/>
          <w:szCs w:val="32"/>
        </w:rPr>
      </w:pPr>
      <w:r>
        <w:rPr>
          <w:rFonts w:eastAsia="方正仿宋_GBK"/>
          <w:sz w:val="32"/>
          <w:szCs w:val="32"/>
        </w:rPr>
        <w:t>（四）大中型电子、新能源电池、汽车、钢铁、烟草、航天工业等企业；</w:t>
      </w:r>
    </w:p>
    <w:p>
      <w:pPr>
        <w:spacing w:line="600" w:lineRule="exact"/>
        <w:ind w:firstLine="640" w:firstLineChars="200"/>
        <w:rPr>
          <w:rFonts w:eastAsia="方正仿宋_GBK"/>
          <w:sz w:val="32"/>
          <w:szCs w:val="32"/>
        </w:rPr>
      </w:pPr>
      <w:r>
        <w:rPr>
          <w:rFonts w:hint="eastAsia" w:eastAsia="方正仿宋_GBK"/>
          <w:sz w:val="32"/>
          <w:szCs w:val="32"/>
          <w:lang w:eastAsia="zh-CN"/>
        </w:rPr>
        <w:t>（五）</w:t>
      </w:r>
      <w:r>
        <w:rPr>
          <w:rFonts w:eastAsia="方正仿宋_GBK"/>
          <w:sz w:val="32"/>
          <w:szCs w:val="32"/>
        </w:rPr>
        <w:t>洁净厂房总建筑面积在2000平方米以上的企业。</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十、国家和省级科研单位</w:t>
      </w:r>
      <w:r>
        <w:rPr>
          <w:rFonts w:hint="eastAsia" w:ascii="方正黑体_GBK" w:eastAsia="方正黑体_GBK"/>
          <w:sz w:val="32"/>
          <w:szCs w:val="32"/>
        </w:rPr>
        <w:t>。</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十一、公共建筑、地下铁道、地下隧道</w:t>
      </w:r>
      <w:r>
        <w:rPr>
          <w:rFonts w:hint="eastAsia" w:ascii="方正黑体_GBK" w:eastAsia="方正黑体_GBK"/>
          <w:sz w:val="32"/>
          <w:szCs w:val="32"/>
        </w:rPr>
        <w:t>：</w:t>
      </w:r>
    </w:p>
    <w:p>
      <w:pPr>
        <w:spacing w:line="600" w:lineRule="exact"/>
        <w:ind w:firstLine="640" w:firstLineChars="200"/>
        <w:rPr>
          <w:rFonts w:eastAsia="方正仿宋_GBK"/>
          <w:sz w:val="32"/>
          <w:szCs w:val="32"/>
        </w:rPr>
      </w:pPr>
      <w:r>
        <w:rPr>
          <w:rFonts w:eastAsia="方正仿宋_GBK"/>
          <w:sz w:val="32"/>
          <w:szCs w:val="32"/>
        </w:rPr>
        <w:t>（一）单体建筑面积在40000平方米以上或建筑高度在50米以上的公共建筑产权或管理单位；</w:t>
      </w:r>
    </w:p>
    <w:p>
      <w:pPr>
        <w:spacing w:line="600" w:lineRule="exact"/>
        <w:ind w:firstLine="640" w:firstLineChars="200"/>
        <w:rPr>
          <w:rFonts w:eastAsia="方正仿宋_GBK"/>
          <w:sz w:val="32"/>
          <w:szCs w:val="32"/>
        </w:rPr>
      </w:pPr>
      <w:r>
        <w:rPr>
          <w:rFonts w:eastAsia="方正仿宋_GBK"/>
          <w:sz w:val="32"/>
          <w:szCs w:val="32"/>
        </w:rPr>
        <w:t>（二）单体建筑面积在10000平方米以上且存在多种经营业态、场所的公共建筑产权或管理单位；</w:t>
      </w:r>
    </w:p>
    <w:p>
      <w:pPr>
        <w:spacing w:line="600" w:lineRule="exact"/>
        <w:ind w:firstLine="640" w:firstLineChars="200"/>
        <w:rPr>
          <w:rFonts w:eastAsia="方正仿宋_GBK"/>
          <w:sz w:val="32"/>
          <w:szCs w:val="32"/>
        </w:rPr>
      </w:pPr>
      <w:r>
        <w:rPr>
          <w:rFonts w:eastAsia="方正仿宋_GBK"/>
          <w:sz w:val="32"/>
          <w:szCs w:val="32"/>
        </w:rPr>
        <w:t>（三）城市地下轨道交通企业；</w:t>
      </w:r>
    </w:p>
    <w:p>
      <w:pPr>
        <w:spacing w:line="600" w:lineRule="exact"/>
        <w:ind w:firstLine="640" w:firstLineChars="200"/>
        <w:rPr>
          <w:rFonts w:eastAsia="方正仿宋_GBK"/>
          <w:sz w:val="32"/>
          <w:szCs w:val="32"/>
        </w:rPr>
      </w:pPr>
      <w:r>
        <w:rPr>
          <w:rFonts w:eastAsia="方正仿宋_GBK"/>
          <w:sz w:val="32"/>
          <w:szCs w:val="32"/>
        </w:rPr>
        <w:t>（四）设有火灾自动报警系统的各类城市交通隧道产权或管理单位。</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十二、仓储、物流企业</w:t>
      </w:r>
      <w:r>
        <w:rPr>
          <w:rFonts w:hint="eastAsia" w:ascii="方正黑体_GBK" w:eastAsia="方正黑体_GBK"/>
          <w:sz w:val="32"/>
          <w:szCs w:val="32"/>
        </w:rPr>
        <w:t>：</w:t>
      </w:r>
    </w:p>
    <w:p>
      <w:pPr>
        <w:spacing w:line="600" w:lineRule="exact"/>
        <w:ind w:firstLine="640" w:firstLineChars="200"/>
        <w:rPr>
          <w:rFonts w:eastAsia="方正仿宋_GBK"/>
          <w:sz w:val="32"/>
          <w:szCs w:val="32"/>
        </w:rPr>
      </w:pPr>
      <w:r>
        <w:rPr>
          <w:rFonts w:eastAsia="方正仿宋_GBK"/>
          <w:sz w:val="32"/>
          <w:szCs w:val="32"/>
        </w:rPr>
        <w:t>（一）国家储备粮库、总储量在10000吨以上的其他粮库；</w:t>
      </w:r>
    </w:p>
    <w:p>
      <w:pPr>
        <w:spacing w:line="600" w:lineRule="exact"/>
        <w:ind w:firstLine="640" w:firstLineChars="200"/>
        <w:rPr>
          <w:rFonts w:eastAsia="方正仿宋_GBK"/>
          <w:sz w:val="32"/>
          <w:szCs w:val="32"/>
        </w:rPr>
      </w:pPr>
      <w:r>
        <w:rPr>
          <w:rFonts w:eastAsia="方正仿宋_GBK"/>
          <w:sz w:val="32"/>
          <w:szCs w:val="32"/>
        </w:rPr>
        <w:t>（二）总储量在500吨以上的棉库；</w:t>
      </w:r>
    </w:p>
    <w:p>
      <w:pPr>
        <w:spacing w:line="600" w:lineRule="exact"/>
        <w:ind w:firstLine="640" w:firstLineChars="200"/>
        <w:rPr>
          <w:rFonts w:eastAsia="方正仿宋_GBK"/>
          <w:sz w:val="32"/>
          <w:szCs w:val="32"/>
        </w:rPr>
      </w:pPr>
      <w:r>
        <w:rPr>
          <w:rFonts w:eastAsia="方正仿宋_GBK"/>
          <w:sz w:val="32"/>
          <w:szCs w:val="32"/>
        </w:rPr>
        <w:t>（三）存储型物流建筑单体面积在5000平方米以上，作业型物流建筑、综合型物流建筑单体面积在10000平方米以上的企业。</w:t>
      </w:r>
    </w:p>
    <w:p>
      <w:pPr>
        <w:spacing w:line="600" w:lineRule="exact"/>
        <w:ind w:firstLine="640" w:firstLineChars="200"/>
        <w:rPr>
          <w:rFonts w:ascii="方正黑体_GBK" w:eastAsia="方正黑体_GBK"/>
          <w:sz w:val="32"/>
          <w:szCs w:val="32"/>
        </w:rPr>
      </w:pPr>
      <w:r>
        <w:rPr>
          <w:rFonts w:ascii="方正黑体_GBK" w:eastAsia="方正黑体_GBK"/>
          <w:sz w:val="32"/>
          <w:szCs w:val="32"/>
        </w:rPr>
        <w:t>十三、其他发生火灾可能性较大以及一旦发生火灾可能造成人身重大伤亡或者财产重大损失的单位。</w:t>
      </w:r>
    </w:p>
    <w:p>
      <w:pPr>
        <w:rPr>
          <w:rFonts w:hint="eastAsia" w:ascii="方正黑体_GBK" w:hAnsi="黑体" w:eastAsia="方正黑体_GBK" w:cs="黑体"/>
          <w:sz w:val="28"/>
          <w:szCs w:val="28"/>
          <w:lang w:val="en-US" w:eastAsia="zh-CN"/>
        </w:rPr>
      </w:pPr>
    </w:p>
    <w:sectPr>
      <w:pgSz w:w="11906" w:h="16838"/>
      <w:pgMar w:top="1440" w:right="1474"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zY3ZDkxYWU4ZDRkMmMxMGVlMjIxZmQwYzVmMDEifQ=="/>
    <w:docVar w:name="KSO_WPS_MARK_KEY" w:val="a28da43d-4da2-4d68-9eb1-f291134c18b5"/>
  </w:docVars>
  <w:rsids>
    <w:rsidRoot w:val="19116E10"/>
    <w:rsid w:val="045C354F"/>
    <w:rsid w:val="07DE071F"/>
    <w:rsid w:val="12DE2917"/>
    <w:rsid w:val="19116E10"/>
    <w:rsid w:val="1F010B23"/>
    <w:rsid w:val="1F3802BD"/>
    <w:rsid w:val="25E20F82"/>
    <w:rsid w:val="28E82D54"/>
    <w:rsid w:val="2DCC1DCA"/>
    <w:rsid w:val="2F163353"/>
    <w:rsid w:val="36017203"/>
    <w:rsid w:val="3BEE1FD7"/>
    <w:rsid w:val="44623562"/>
    <w:rsid w:val="456048E3"/>
    <w:rsid w:val="4AD95B34"/>
    <w:rsid w:val="4D93076E"/>
    <w:rsid w:val="4FF736F9"/>
    <w:rsid w:val="54E4612D"/>
    <w:rsid w:val="5B7E6A73"/>
    <w:rsid w:val="6085228D"/>
    <w:rsid w:val="628A3F58"/>
    <w:rsid w:val="648669A1"/>
    <w:rsid w:val="650A1380"/>
    <w:rsid w:val="6784541A"/>
    <w:rsid w:val="69605A13"/>
    <w:rsid w:val="6B4E0C63"/>
    <w:rsid w:val="6B67752D"/>
    <w:rsid w:val="6C692E30"/>
    <w:rsid w:val="6CED5810"/>
    <w:rsid w:val="6F6618A9"/>
    <w:rsid w:val="6FD74555"/>
    <w:rsid w:val="70DF1913"/>
    <w:rsid w:val="76E504FC"/>
    <w:rsid w:val="7E2E4C53"/>
    <w:rsid w:val="7E9E4BBC"/>
    <w:rsid w:val="7ED4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line="360" w:lineRule="auto"/>
    </w:pPr>
    <w:rPr>
      <w:rFonts w:eastAsia="黑体" w:cs="黑体"/>
    </w:rPr>
  </w:style>
  <w:style w:type="paragraph" w:styleId="3">
    <w:name w:val="Body Text 2"/>
    <w:basedOn w:val="1"/>
    <w:next w:val="2"/>
    <w:qFormat/>
    <w:uiPriority w:val="99"/>
    <w:pPr>
      <w:spacing w:after="120" w:afterLines="0" w:line="480" w:lineRule="auto"/>
    </w:pPr>
  </w:style>
  <w:style w:type="paragraph" w:styleId="4">
    <w:name w:val="Plain Text"/>
    <w:basedOn w:val="1"/>
    <w:qFormat/>
    <w:uiPriority w:val="99"/>
    <w:rPr>
      <w:rFonts w:ascii="宋体" w:hAnsi="Courier New" w:eastAsia="宋体"/>
      <w:sz w:val="21"/>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3336</Words>
  <Characters>3511</Characters>
  <Lines>0</Lines>
  <Paragraphs>0</Paragraphs>
  <TotalTime>13</TotalTime>
  <ScaleCrop>false</ScaleCrop>
  <LinksUpToDate>false</LinksUpToDate>
  <CharactersWithSpaces>3633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2024-01-29T06:43:00Z</dcterms:created>
  <dc:creator>Administrator</dc:creator>
  <cp:lastModifiedBy>Administrator</cp:lastModifiedBy>
  <dcterms:modified xsi:type="dcterms:W3CDTF">2024-03-20T01:34:33Z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5B7FCE7D1CFE498AAD86298E4D7A7FF0_13</vt:lpwstr>
  </property>
</Properties>
</file>