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2"/>
          <w:szCs w:val="42"/>
          <w:shd w:val="clear" w:color="auto" w:fill="FFFFFF"/>
        </w:rPr>
      </w:pPr>
      <w:r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2"/>
          <w:szCs w:val="42"/>
          <w:shd w:val="clear" w:color="auto" w:fill="FFFFFF"/>
        </w:rPr>
        <w:t>异地申请 换、补领 居民身份证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办理地点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户籍所在地、居住地派出所（或其他户政窗口）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办理时效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30日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收费依据及标准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</w:pPr>
      <w:r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丢失补领40元/证；到期换领20元/证；按照《国家发展改革委、财政部关于居民身份证收费标准及有关问题的通知》（发改价格[2003]2322号）的规定。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办理地址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许昌市建安区东航路与新元大道交叉口小召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派出所户籍室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电话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037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4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—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5110721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周一至周五上午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8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：00-12:00下午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14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: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3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0-17: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3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20" w:lineRule="atLeast"/>
        <w:ind w:right="0"/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办理流程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20" w:lineRule="atLeast"/>
        <w:ind w:right="0" w:firstLine="540" w:firstLineChars="200"/>
      </w:pPr>
      <w:r>
        <w:rPr>
          <w:rFonts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到户籍所在地或居住地公安派出所（户政窗口）申领，由县级人民政府公安机关签发。    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20" w:lineRule="atLeast"/>
        <w:ind w:left="3000" w:right="0"/>
      </w:pPr>
    </w:p>
    <w:p>
      <w:pPr>
        <w:pStyle w:val="2"/>
        <w:keepNext w:val="0"/>
        <w:keepLines w:val="0"/>
        <w:widowControl/>
        <w:suppressLineNumbers w:val="0"/>
        <w:spacing w:after="0" w:afterAutospacing="0" w:line="420" w:lineRule="atLeast"/>
        <w:ind w:right="0"/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所需材料</w:t>
      </w:r>
    </w:p>
    <w:p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1、申请人需交验相关身份证件；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br w:type="textWrapping"/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2、申请人交验证明身份的证件之一后，经书面承诺，可免提交在当地就业、就学、居住的相关证明材料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GU0MDUxMGZjZDk4YTE4MzYxOGI2OWU5YTFlNTEifQ=="/>
  </w:docVars>
  <w:rsids>
    <w:rsidRoot w:val="004304D6"/>
    <w:rsid w:val="0043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2023-11-21T08:17:00Z</dcterms:created>
  <dc:creator>86495</dc:creator>
  <cp:lastModifiedBy>86495</cp:lastModifiedBy>
  <dcterms:modified xsi:type="dcterms:W3CDTF">2023-11-21T08:18:14Z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FBD138B44DC64583A69CC60E91AB9AC2_11</vt:lpwstr>
  </property>
</Properties>
</file>