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eastAsia" w:ascii="Times New Roman" w:hAnsi="Times New Roman" w:cs="仿宋_GB2312"/>
          <w:b/>
          <w:bCs/>
          <w:lang w:val="en-US" w:eastAsia="zh-CN"/>
        </w:rPr>
      </w:pPr>
    </w:p>
    <w:p>
      <w:pPr>
        <w:ind w:firstLine="643" w:firstLineChars="200"/>
        <w:rPr>
          <w:rFonts w:hint="eastAsia" w:ascii="Times New Roman" w:hAnsi="Times New Roman" w:cs="仿宋_GB2312"/>
          <w:b/>
          <w:bCs/>
          <w:lang w:val="en-US" w:eastAsia="zh-CN"/>
        </w:rPr>
      </w:pPr>
      <w:r>
        <w:rPr>
          <w:rFonts w:hint="eastAsia" w:ascii="Times New Roman" w:hAnsi="Times New Roman" w:cs="仿宋_GB2312"/>
          <w:b/>
          <w:bCs/>
          <w:lang w:val="en-US" w:eastAsia="zh-CN"/>
        </w:rPr>
        <w:t>五女店镇岗头卢村南地块控制性详细规划</w:t>
      </w:r>
    </w:p>
    <w:p>
      <w:pPr>
        <w:pStyle w:val="2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红线内用地面积13875平方米，其中01-1号地块红线内用地面积2664平方米，01-2号地块红线内用地面积3036平方米，01-3号地块红线内用地面积8175平方米。三个地块用地性质均为公共管理和公共服务设施（文化用地），建筑层数：低层为主，建筑限高＜15米，建筑密度＜40%，容积率＜1.2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0500" cy="3665855"/>
            <wp:effectExtent l="0" t="0" r="6350" b="10795"/>
            <wp:docPr id="1" name="图片 1" descr="岗头卢村南（中医文化中心）控规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岗头卢村南（中医文化中心）控规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EC23266"/>
    <w:rsid w:val="2F1C5DF3"/>
    <w:rsid w:val="3AB47816"/>
    <w:rsid w:val="577F29D6"/>
    <w:rsid w:val="5A484A1C"/>
    <w:rsid w:val="64B139F8"/>
    <w:rsid w:val="6D88699C"/>
    <w:rsid w:val="79F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