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3" w:firstLineChars="200"/>
        <w:rPr>
          <w:rFonts w:hint="eastAsia" w:ascii="Times New Roman" w:hAnsi="黑体" w:eastAsia="黑体" w:cs="黑体"/>
        </w:rPr>
      </w:pPr>
      <w:r>
        <w:rPr>
          <w:rFonts w:hint="eastAsia" w:ascii="Times New Roman" w:hAnsi="Times New Roman" w:cs="仿宋_GB2312"/>
          <w:b/>
          <w:bCs/>
          <w:lang w:val="en-US" w:eastAsia="zh-CN"/>
        </w:rPr>
        <w:t>灵井镇灵南村许禹快速通道以北局部地块控制性详细规划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地块性质：公共管理与公共服务用地（教育用地）；规划红线内总用地面积：36790平方米（55.2亩）；A-1:8972平方米（13.5亩）, A-2：23788平方米（35.7亩）, A-3：4030平方米（6亩）;建筑层数：低层、多层;建筑限高：＜24米;建筑密度： ＜40%;容积率： ＜0.8;绿地率：≥35%;机动车停车位：&gt;0.1车位/100平方米建筑面积。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57800" cy="3286125"/>
            <wp:effectExtent l="0" t="0" r="0" b="9525"/>
            <wp:docPr id="1" name="图片 1" descr="灵井镇灵南社区地块金鼎高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灵井镇灵南社区地块金鼎高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2DDD5EDC"/>
    <w:rsid w:val="2F1C5DF3"/>
    <w:rsid w:val="3AB47816"/>
    <w:rsid w:val="577F29D6"/>
    <w:rsid w:val="5A484A1C"/>
    <w:rsid w:val="64B139F8"/>
    <w:rsid w:val="691437EB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0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