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lang w:eastAsia="zh-CN"/>
        </w:rPr>
        <w:t>20</w:t>
      </w:r>
      <w:r>
        <w:rPr>
          <w:rFonts w:hint="eastAsia" w:ascii="黑体" w:hAnsi="黑体" w:eastAsia="黑体" w:cs="黑体"/>
          <w:color w:val="auto"/>
          <w:sz w:val="52"/>
          <w:szCs w:val="52"/>
          <w:highlight w:val="none"/>
          <w:lang w:val="en-US" w:eastAsia="zh-CN"/>
        </w:rPr>
        <w:t>21</w:t>
      </w:r>
      <w:r>
        <w:rPr>
          <w:rFonts w:hint="eastAsia" w:ascii="黑体" w:hAnsi="黑体" w:eastAsia="黑体" w:cs="黑体"/>
          <w:color w:val="auto"/>
          <w:sz w:val="52"/>
          <w:szCs w:val="52"/>
          <w:highlight w:val="none"/>
          <w:lang w:eastAsia="zh-CN"/>
        </w:rPr>
        <w:t>年度</w:t>
      </w:r>
    </w:p>
    <w:p>
      <w:pPr>
        <w:jc w:val="center"/>
        <w:rPr>
          <w:rFonts w:hint="eastAsia" w:ascii="黑体" w:hAnsi="黑体" w:eastAsia="黑体" w:cs="黑体"/>
          <w:color w:val="auto"/>
          <w:sz w:val="52"/>
          <w:szCs w:val="52"/>
          <w:highlight w:val="none"/>
          <w:lang w:val="en-US" w:eastAsia="zh-CN"/>
        </w:rPr>
      </w:pPr>
      <w:r>
        <w:rPr>
          <w:rFonts w:hint="eastAsia" w:ascii="黑体" w:hAnsi="黑体" w:eastAsia="黑体" w:cs="黑体"/>
          <w:color w:val="auto"/>
          <w:sz w:val="52"/>
          <w:szCs w:val="52"/>
          <w:highlight w:val="none"/>
          <w:lang w:val="en-US" w:eastAsia="zh-CN"/>
        </w:rPr>
        <w:t>许昌市建安区住房和城乡建设局</w:t>
      </w: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lang w:eastAsia="zh-CN"/>
        </w:rPr>
        <w:t>（本级）</w:t>
      </w:r>
      <w:r>
        <w:rPr>
          <w:rFonts w:hint="eastAsia" w:ascii="黑体" w:hAnsi="黑体" w:eastAsia="黑体" w:cs="黑体"/>
          <w:color w:val="auto"/>
          <w:sz w:val="52"/>
          <w:szCs w:val="52"/>
          <w:highlight w:val="none"/>
        </w:rPr>
        <w:t>部门决算</w:t>
      </w: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32"/>
          <w:szCs w:val="32"/>
          <w:highlight w:val="none"/>
          <w:lang w:eastAsia="zh-CN"/>
        </w:rPr>
        <w:sectPr>
          <w:pgSz w:w="11906" w:h="16838"/>
          <w:pgMar w:top="1440" w:right="1531" w:bottom="1440" w:left="1587" w:header="850" w:footer="992" w:gutter="0"/>
          <w:pgNumType w:fmt="numberInDash"/>
          <w:cols w:space="720" w:num="1"/>
          <w:rtlGutter w:val="0"/>
          <w:docGrid w:type="lines" w:linePitch="317" w:charSpace="0"/>
        </w:sectPr>
      </w:pPr>
      <w:r>
        <w:rPr>
          <w:rFonts w:hint="eastAsia" w:ascii="黑体" w:hAnsi="黑体" w:eastAsia="黑体" w:cs="黑体"/>
          <w:color w:val="auto"/>
          <w:sz w:val="32"/>
          <w:szCs w:val="32"/>
          <w:highlight w:val="none"/>
          <w:lang w:eastAsia="zh-CN"/>
        </w:rPr>
        <w:t>二〇</w:t>
      </w:r>
      <w:r>
        <w:rPr>
          <w:rFonts w:hint="eastAsia" w:ascii="黑体" w:hAnsi="黑体" w:eastAsia="黑体" w:cs="黑体"/>
          <w:color w:val="auto"/>
          <w:sz w:val="32"/>
          <w:szCs w:val="32"/>
          <w:highlight w:val="none"/>
          <w:lang w:val="en-US" w:eastAsia="zh-CN"/>
        </w:rPr>
        <w:t>二二</w:t>
      </w:r>
      <w:r>
        <w:rPr>
          <w:rFonts w:hint="eastAsia" w:ascii="黑体" w:hAnsi="黑体" w:eastAsia="黑体" w:cs="黑体"/>
          <w:color w:val="auto"/>
          <w:sz w:val="32"/>
          <w:szCs w:val="32"/>
          <w:highlight w:val="none"/>
          <w:lang w:eastAsia="zh-CN"/>
        </w:rPr>
        <w:t>年</w:t>
      </w:r>
      <w:r>
        <w:rPr>
          <w:rFonts w:hint="eastAsia" w:ascii="黑体" w:hAnsi="黑体" w:eastAsia="黑体" w:cs="黑体"/>
          <w:color w:val="auto"/>
          <w:sz w:val="32"/>
          <w:szCs w:val="32"/>
          <w:highlight w:val="none"/>
          <w:lang w:val="en-US" w:eastAsia="zh-CN"/>
        </w:rPr>
        <w:t>九</w:t>
      </w:r>
      <w:r>
        <w:rPr>
          <w:rFonts w:hint="eastAsia" w:ascii="黑体" w:hAnsi="黑体" w:eastAsia="黑体" w:cs="黑体"/>
          <w:color w:val="auto"/>
          <w:sz w:val="32"/>
          <w:szCs w:val="32"/>
          <w:highlight w:val="none"/>
          <w:lang w:eastAsia="zh-CN"/>
        </w:rPr>
        <w:t>月</w:t>
      </w:r>
    </w:p>
    <w:p>
      <w:pPr>
        <w:jc w:val="center"/>
        <w:rPr>
          <w:rFonts w:ascii="黑体" w:hAnsi="黑体" w:eastAsia="黑体" w:cs="黑体"/>
          <w:color w:val="auto"/>
          <w:sz w:val="36"/>
          <w:szCs w:val="36"/>
          <w:highlight w:val="none"/>
        </w:rPr>
      </w:pPr>
      <w:r>
        <w:rPr>
          <w:rFonts w:hint="eastAsia" w:ascii="黑体" w:hAnsi="黑体" w:eastAsia="黑体" w:cs="黑体"/>
          <w:color w:val="auto"/>
          <w:sz w:val="36"/>
          <w:szCs w:val="36"/>
          <w:highlight w:val="none"/>
        </w:rPr>
        <w:t>目　　录</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第一部分　　</w:t>
      </w:r>
      <w:r>
        <w:rPr>
          <w:rFonts w:hint="eastAsia" w:ascii="黑体" w:hAnsi="黑体" w:eastAsia="黑体" w:cs="黑体"/>
          <w:color w:val="auto"/>
          <w:sz w:val="32"/>
          <w:szCs w:val="32"/>
          <w:highlight w:val="none"/>
          <w:lang w:val="en-US" w:eastAsia="zh-CN"/>
        </w:rPr>
        <w:t>许昌市建安区住房和城乡建设局（本级）</w:t>
      </w:r>
      <w:r>
        <w:rPr>
          <w:rFonts w:hint="eastAsia" w:ascii="黑体" w:hAnsi="黑体" w:eastAsia="黑体" w:cs="黑体"/>
          <w:color w:val="auto"/>
          <w:sz w:val="32"/>
          <w:szCs w:val="32"/>
          <w:highlight w:val="none"/>
        </w:rPr>
        <w:t>概况</w:t>
      </w:r>
    </w:p>
    <w:p>
      <w:pPr>
        <w:numPr>
          <w:ilvl w:val="0"/>
          <w:numId w:val="1"/>
        </w:numPr>
        <w:ind w:firstLine="640" w:firstLineChars="200"/>
        <w:jc w:val="left"/>
        <w:rPr>
          <w:rFonts w:ascii="宋体" w:hAnsi="宋体" w:eastAsia="宋体" w:cs="宋体"/>
          <w:color w:val="auto"/>
          <w:sz w:val="32"/>
          <w:szCs w:val="32"/>
          <w:highlight w:val="none"/>
        </w:rPr>
      </w:pPr>
      <w:r>
        <w:rPr>
          <w:rFonts w:hint="eastAsia" w:ascii="宋体" w:hAnsi="宋体" w:eastAsia="宋体" w:cs="宋体"/>
          <w:color w:val="auto"/>
          <w:sz w:val="32"/>
          <w:szCs w:val="32"/>
          <w:highlight w:val="none"/>
          <w:lang w:eastAsia="zh-CN"/>
        </w:rPr>
        <w:t>部门职责</w:t>
      </w:r>
    </w:p>
    <w:p>
      <w:pPr>
        <w:numPr>
          <w:ilvl w:val="0"/>
          <w:numId w:val="1"/>
        </w:numPr>
        <w:ind w:firstLine="640" w:firstLineChars="200"/>
        <w:jc w:val="left"/>
        <w:rPr>
          <w:rFonts w:ascii="宋体" w:hAnsi="宋体" w:eastAsia="宋体" w:cs="宋体"/>
          <w:color w:val="auto"/>
          <w:sz w:val="32"/>
          <w:szCs w:val="32"/>
          <w:highlight w:val="none"/>
        </w:rPr>
      </w:pPr>
      <w:r>
        <w:rPr>
          <w:rFonts w:hint="eastAsia" w:ascii="宋体" w:hAnsi="宋体" w:eastAsia="宋体" w:cs="宋体"/>
          <w:color w:val="auto"/>
          <w:sz w:val="32"/>
          <w:szCs w:val="32"/>
          <w:highlight w:val="none"/>
          <w:lang w:eastAsia="zh-CN"/>
        </w:rPr>
        <w:t>机构设置</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二</w:t>
      </w:r>
      <w:r>
        <w:rPr>
          <w:rFonts w:hint="eastAsia" w:ascii="黑体" w:hAnsi="黑体" w:eastAsia="黑体" w:cs="黑体"/>
          <w:color w:val="auto"/>
          <w:sz w:val="32"/>
          <w:szCs w:val="32"/>
          <w:highlight w:val="none"/>
        </w:rPr>
        <w:t>部分　　</w:t>
      </w:r>
      <w:r>
        <w:rPr>
          <w:rFonts w:hint="eastAsia" w:ascii="黑体" w:hAnsi="黑体" w:eastAsia="黑体" w:cs="黑体"/>
          <w:color w:val="auto"/>
          <w:sz w:val="32"/>
          <w:szCs w:val="32"/>
          <w:highlight w:val="none"/>
          <w:lang w:eastAsia="zh-CN"/>
        </w:rPr>
        <w:t>20</w:t>
      </w:r>
      <w:r>
        <w:rPr>
          <w:rFonts w:hint="eastAsia" w:ascii="黑体" w:hAnsi="黑体" w:eastAsia="黑体" w:cs="黑体"/>
          <w:color w:val="auto"/>
          <w:sz w:val="32"/>
          <w:szCs w:val="32"/>
          <w:highlight w:val="none"/>
          <w:lang w:val="en-US" w:eastAsia="zh-CN"/>
        </w:rPr>
        <w:t>21</w:t>
      </w:r>
      <w:r>
        <w:rPr>
          <w:rFonts w:hint="eastAsia" w:ascii="黑体" w:hAnsi="黑体" w:eastAsia="黑体" w:cs="黑体"/>
          <w:color w:val="auto"/>
          <w:sz w:val="32"/>
          <w:szCs w:val="32"/>
          <w:highlight w:val="none"/>
          <w:lang w:eastAsia="zh-CN"/>
        </w:rPr>
        <w:t>年度</w:t>
      </w:r>
      <w:r>
        <w:rPr>
          <w:rFonts w:hint="eastAsia" w:ascii="黑体" w:hAnsi="黑体" w:eastAsia="黑体" w:cs="黑体"/>
          <w:color w:val="auto"/>
          <w:sz w:val="32"/>
          <w:szCs w:val="32"/>
          <w:highlight w:val="none"/>
        </w:rPr>
        <w:t>部门决算表</w:t>
      </w:r>
    </w:p>
    <w:p>
      <w:pPr>
        <w:ind w:firstLine="640" w:firstLineChars="200"/>
        <w:jc w:val="left"/>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一、收入支出决算总表</w:t>
      </w:r>
    </w:p>
    <w:p>
      <w:pPr>
        <w:ind w:firstLine="640" w:firstLineChars="200"/>
        <w:jc w:val="left"/>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二、收入决算表</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三、支出决算表</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四、财政拨款收入支出决算总表</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五、一般公共预算财政拨款支出决算表</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六、一般公共预算财政拨款基本支出决算表</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七、一般公共预算财政拨款“三公”经费支出决算表</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八、政府性基金预算财政拨款收入支出决算表</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三</w:t>
      </w:r>
      <w:r>
        <w:rPr>
          <w:rFonts w:hint="eastAsia" w:ascii="黑体" w:hAnsi="黑体" w:eastAsia="黑体" w:cs="黑体"/>
          <w:color w:val="auto"/>
          <w:sz w:val="32"/>
          <w:szCs w:val="32"/>
          <w:highlight w:val="none"/>
        </w:rPr>
        <w:t>部分　　</w:t>
      </w:r>
      <w:r>
        <w:rPr>
          <w:rFonts w:hint="eastAsia" w:ascii="黑体" w:hAnsi="黑体" w:eastAsia="黑体" w:cs="黑体"/>
          <w:color w:val="auto"/>
          <w:sz w:val="32"/>
          <w:szCs w:val="32"/>
          <w:highlight w:val="none"/>
          <w:lang w:eastAsia="zh-CN"/>
        </w:rPr>
        <w:t>20</w:t>
      </w:r>
      <w:r>
        <w:rPr>
          <w:rFonts w:hint="eastAsia" w:ascii="黑体" w:hAnsi="黑体" w:eastAsia="黑体" w:cs="黑体"/>
          <w:color w:val="auto"/>
          <w:sz w:val="32"/>
          <w:szCs w:val="32"/>
          <w:highlight w:val="none"/>
          <w:lang w:val="en-US" w:eastAsia="zh-CN"/>
        </w:rPr>
        <w:t>21</w:t>
      </w:r>
      <w:r>
        <w:rPr>
          <w:rFonts w:hint="eastAsia" w:ascii="黑体" w:hAnsi="黑体" w:eastAsia="黑体" w:cs="黑体"/>
          <w:color w:val="auto"/>
          <w:sz w:val="32"/>
          <w:szCs w:val="32"/>
          <w:highlight w:val="none"/>
          <w:lang w:eastAsia="zh-CN"/>
        </w:rPr>
        <w:t>年度</w:t>
      </w:r>
      <w:r>
        <w:rPr>
          <w:rFonts w:hint="eastAsia" w:ascii="黑体" w:hAnsi="黑体" w:eastAsia="黑体" w:cs="黑体"/>
          <w:color w:val="auto"/>
          <w:sz w:val="32"/>
          <w:szCs w:val="32"/>
          <w:highlight w:val="none"/>
        </w:rPr>
        <w:t>部门决算情况说明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一、收入支出决算总体情况说明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二、收入决算情况说明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三、支出决算情况说明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四、财政拨款收入支出决算总体情况说明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五、一般公共预算财政拨款支出决算情况说明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六、一般公共预算财政拨款基本支出决算情况说明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七、一般公共预算财政拨款“三公”经费支出决算情况说明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八、预算绩效情况说明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九、政府性基金预算财政拨款支出决算情况说明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十、机关运行经费支出情况</w:t>
      </w:r>
      <w:r>
        <w:rPr>
          <w:rFonts w:hint="eastAsia" w:ascii="宋体" w:hAnsi="宋体" w:eastAsia="宋体" w:cs="宋体"/>
          <w:color w:val="auto"/>
          <w:sz w:val="32"/>
          <w:szCs w:val="32"/>
          <w:highlight w:val="none"/>
          <w:lang w:eastAsia="zh-CN"/>
        </w:rPr>
        <w:t>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eastAsia="zh-CN"/>
        </w:rPr>
        <w:t>十一、</w:t>
      </w:r>
      <w:r>
        <w:rPr>
          <w:rFonts w:hint="eastAsia" w:ascii="宋体" w:hAnsi="宋体" w:eastAsia="宋体" w:cs="宋体"/>
          <w:color w:val="auto"/>
          <w:sz w:val="32"/>
          <w:szCs w:val="32"/>
          <w:highlight w:val="none"/>
        </w:rPr>
        <w:t>政府采购支出情况</w:t>
      </w:r>
      <w:r>
        <w:rPr>
          <w:rFonts w:hint="eastAsia" w:ascii="宋体" w:hAnsi="宋体" w:eastAsia="宋体" w:cs="宋体"/>
          <w:color w:val="auto"/>
          <w:sz w:val="32"/>
          <w:szCs w:val="32"/>
          <w:highlight w:val="none"/>
          <w:lang w:eastAsia="zh-CN"/>
        </w:rPr>
        <w:t>说明</w:t>
      </w:r>
    </w:p>
    <w:p>
      <w:pPr>
        <w:ind w:firstLine="640" w:firstLineChars="200"/>
        <w:jc w:val="left"/>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十二、国有资产占用情况说明</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四</w:t>
      </w:r>
      <w:r>
        <w:rPr>
          <w:rFonts w:hint="eastAsia" w:ascii="黑体" w:hAnsi="黑体" w:eastAsia="黑体" w:cs="黑体"/>
          <w:color w:val="auto"/>
          <w:sz w:val="32"/>
          <w:szCs w:val="32"/>
          <w:highlight w:val="none"/>
        </w:rPr>
        <w:t>部分　　名词解释</w:t>
      </w:r>
    </w:p>
    <w:p>
      <w:pPr>
        <w:ind w:firstLine="640" w:firstLineChars="200"/>
        <w:jc w:val="left"/>
        <w:rPr>
          <w:rFonts w:ascii="宋体" w:hAnsi="宋体" w:eastAsia="宋体" w:cs="宋体"/>
          <w:color w:val="auto"/>
          <w:sz w:val="32"/>
          <w:szCs w:val="32"/>
          <w:highlight w:val="none"/>
        </w:rPr>
      </w:pPr>
    </w:p>
    <w:p>
      <w:pPr>
        <w:jc w:val="left"/>
        <w:rPr>
          <w:rFonts w:hint="eastAsia" w:ascii="黑体" w:hAnsi="黑体" w:eastAsia="黑体" w:cs="黑体"/>
          <w:color w:val="auto"/>
          <w:sz w:val="32"/>
          <w:szCs w:val="32"/>
          <w:highlight w:val="none"/>
        </w:rPr>
        <w:sectPr>
          <w:footerReference r:id="rId3" w:type="default"/>
          <w:footerReference r:id="rId4" w:type="even"/>
          <w:pgSz w:w="11906" w:h="16838"/>
          <w:pgMar w:top="1440" w:right="1531" w:bottom="1440" w:left="1587" w:header="850" w:footer="992" w:gutter="0"/>
          <w:pgNumType w:fmt="numberInDash" w:start="1"/>
          <w:cols w:space="720" w:num="1"/>
          <w:rtlGutter w:val="0"/>
          <w:docGrid w:type="lines" w:linePitch="317" w:charSpace="0"/>
        </w:sect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center"/>
        <w:outlineLvl w:val="0"/>
        <w:rPr>
          <w:rFonts w:hint="eastAsia" w:ascii="黑体" w:hAnsi="宋体" w:eastAsia="黑体" w:cs="宋体"/>
          <w:color w:val="auto"/>
          <w:kern w:val="0"/>
          <w:sz w:val="28"/>
          <w:szCs w:val="28"/>
          <w:highlight w:val="none"/>
          <w:lang w:val="en-US" w:eastAsia="zh-CN"/>
        </w:rPr>
      </w:pPr>
      <w:r>
        <w:rPr>
          <w:rFonts w:hint="eastAsia" w:ascii="黑体" w:hAnsi="黑体" w:eastAsia="黑体" w:cs="黑体"/>
          <w:color w:val="auto"/>
          <w:sz w:val="48"/>
          <w:szCs w:val="48"/>
          <w:highlight w:val="none"/>
        </w:rPr>
        <w:t>第一部分</w:t>
      </w:r>
      <w:r>
        <w:rPr>
          <w:rFonts w:hint="eastAsia" w:ascii="黑体" w:hAnsi="黑体" w:eastAsia="黑体" w:cs="黑体"/>
          <w:color w:val="auto"/>
          <w:sz w:val="48"/>
          <w:szCs w:val="48"/>
          <w:highlight w:val="none"/>
          <w:lang w:val="en-US" w:eastAsia="zh-CN"/>
        </w:rPr>
        <w:t xml:space="preserve"> 许昌市建安区住房和城乡建设局（本级）</w:t>
      </w:r>
      <w:r>
        <w:rPr>
          <w:rFonts w:hint="eastAsia" w:ascii="黑体" w:hAnsi="黑体" w:eastAsia="黑体" w:cs="黑体"/>
          <w:color w:val="auto"/>
          <w:sz w:val="48"/>
          <w:szCs w:val="48"/>
          <w:highlight w:val="none"/>
        </w:rPr>
        <w:t>概况</w:t>
      </w: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sectPr>
          <w:pgSz w:w="11906" w:h="16838"/>
          <w:pgMar w:top="1440" w:right="1800" w:bottom="1440" w:left="1800" w:header="720" w:footer="720" w:gutter="0"/>
          <w:pgNumType w:fmt="numberInDash"/>
          <w:cols w:space="720" w:num="1"/>
          <w:docGrid w:type="lines" w:linePitch="312" w:charSpace="0"/>
        </w:sectPr>
      </w:pPr>
    </w:p>
    <w:p>
      <w:pPr>
        <w:widowControl/>
        <w:ind w:firstLine="640" w:firstLineChars="200"/>
        <w:jc w:val="left"/>
        <w:outlineLvl w:val="1"/>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lang w:val="en-US" w:eastAsia="zh-CN"/>
        </w:rPr>
        <w:t>一、部门</w:t>
      </w:r>
      <w:r>
        <w:rPr>
          <w:rFonts w:hint="eastAsia" w:ascii="黑体" w:hAnsi="黑体" w:eastAsia="黑体" w:cs="黑体"/>
          <w:bCs/>
          <w:sz w:val="32"/>
          <w:szCs w:val="32"/>
          <w:highlight w:val="none"/>
        </w:rPr>
        <w:t>职责</w:t>
      </w:r>
    </w:p>
    <w:p>
      <w:pPr>
        <w:widowControl/>
        <w:ind w:firstLine="643" w:firstLineChars="200"/>
        <w:jc w:val="left"/>
        <w:outlineLvl w:val="1"/>
        <w:rPr>
          <w:rFonts w:hint="eastAsia" w:ascii="仿宋_GB2312" w:hAnsi="宋体" w:eastAsia="仿宋_GB2312" w:cs="宋体"/>
          <w:b/>
          <w:bCs/>
          <w:kern w:val="0"/>
          <w:sz w:val="32"/>
          <w:szCs w:val="32"/>
          <w:highlight w:val="none"/>
          <w:lang w:val="en-US" w:eastAsia="zh-CN"/>
        </w:rPr>
      </w:pPr>
      <w:r>
        <w:rPr>
          <w:rFonts w:hint="eastAsia" w:ascii="仿宋_GB2312" w:hAnsi="宋体" w:eastAsia="仿宋_GB2312" w:cs="宋体"/>
          <w:b/>
          <w:bCs/>
          <w:kern w:val="0"/>
          <w:sz w:val="32"/>
          <w:szCs w:val="32"/>
          <w:highlight w:val="none"/>
          <w:lang w:val="en-US" w:eastAsia="zh-CN"/>
        </w:rPr>
        <w:t>1.主要职责</w:t>
      </w:r>
    </w:p>
    <w:p>
      <w:pPr>
        <w:spacing w:line="600" w:lineRule="exact"/>
        <w:ind w:firstLine="640" w:firstLineChars="200"/>
        <w:rPr>
          <w:rFonts w:hint="default" w:ascii="仿宋_GB2312" w:hAnsi="宋体" w:eastAsia="仿宋_GB2312" w:cs="宋体"/>
          <w:kern w:val="0"/>
          <w:sz w:val="32"/>
          <w:szCs w:val="32"/>
          <w:highlight w:val="none"/>
          <w:lang w:val="en-US" w:eastAsia="zh-CN"/>
        </w:rPr>
      </w:pPr>
      <w:r>
        <w:rPr>
          <w:rFonts w:hint="eastAsia" w:ascii="仿宋_GB2312" w:hAnsi="宋体" w:eastAsia="仿宋_GB2312" w:cs="宋体"/>
          <w:kern w:val="0"/>
          <w:sz w:val="32"/>
          <w:szCs w:val="32"/>
          <w:highlight w:val="none"/>
          <w:lang w:eastAsia="zh-CN"/>
        </w:rPr>
        <w:t>（</w:t>
      </w:r>
      <w:r>
        <w:rPr>
          <w:rFonts w:hint="eastAsia" w:ascii="仿宋_GB2312" w:hAnsi="宋体" w:eastAsia="仿宋_GB2312" w:cs="宋体"/>
          <w:kern w:val="0"/>
          <w:sz w:val="32"/>
          <w:szCs w:val="32"/>
          <w:highlight w:val="none"/>
          <w:lang w:val="en-US" w:eastAsia="zh-CN"/>
        </w:rPr>
        <w:t>1</w:t>
      </w:r>
      <w:r>
        <w:rPr>
          <w:rFonts w:hint="eastAsia" w:ascii="仿宋_GB2312" w:hAnsi="宋体" w:eastAsia="仿宋_GB2312" w:cs="宋体"/>
          <w:kern w:val="0"/>
          <w:sz w:val="32"/>
          <w:szCs w:val="32"/>
          <w:highlight w:val="none"/>
          <w:lang w:eastAsia="zh-CN"/>
        </w:rPr>
        <w:t>）</w:t>
      </w:r>
      <w:r>
        <w:rPr>
          <w:rFonts w:hint="eastAsia" w:ascii="仿宋_GB2312" w:hAnsi="宋体" w:eastAsia="仿宋_GB2312" w:cs="宋体"/>
          <w:kern w:val="0"/>
          <w:sz w:val="32"/>
          <w:szCs w:val="32"/>
          <w:highlight w:val="none"/>
          <w:lang w:val="en-US" w:eastAsia="zh-CN"/>
        </w:rPr>
        <w:t>负责城镇中低收入群体住房保障工作；</w:t>
      </w:r>
    </w:p>
    <w:p>
      <w:pPr>
        <w:spacing w:line="600" w:lineRule="exact"/>
        <w:ind w:firstLine="640" w:firstLineChars="200"/>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lang w:eastAsia="zh-CN"/>
        </w:rPr>
        <w:t>（</w:t>
      </w:r>
      <w:r>
        <w:rPr>
          <w:rFonts w:hint="eastAsia" w:ascii="仿宋_GB2312" w:hAnsi="宋体" w:eastAsia="仿宋_GB2312" w:cs="宋体"/>
          <w:kern w:val="0"/>
          <w:sz w:val="32"/>
          <w:szCs w:val="32"/>
          <w:highlight w:val="none"/>
          <w:lang w:val="en-US" w:eastAsia="zh-CN"/>
        </w:rPr>
        <w:t>2</w:t>
      </w:r>
      <w:r>
        <w:rPr>
          <w:rFonts w:hint="eastAsia" w:ascii="仿宋_GB2312" w:hAnsi="宋体" w:eastAsia="仿宋_GB2312" w:cs="宋体"/>
          <w:kern w:val="0"/>
          <w:sz w:val="32"/>
          <w:szCs w:val="32"/>
          <w:highlight w:val="none"/>
          <w:lang w:eastAsia="zh-CN"/>
        </w:rPr>
        <w:t>）</w:t>
      </w:r>
      <w:r>
        <w:rPr>
          <w:rFonts w:hint="eastAsia" w:ascii="仿宋_GB2312" w:hAnsi="宋体" w:eastAsia="仿宋_GB2312" w:cs="宋体"/>
          <w:kern w:val="0"/>
          <w:sz w:val="32"/>
          <w:szCs w:val="32"/>
          <w:highlight w:val="none"/>
        </w:rPr>
        <w:t>承担推进住房制度改革</w:t>
      </w:r>
      <w:r>
        <w:rPr>
          <w:rFonts w:hint="eastAsia" w:ascii="仿宋_GB2312" w:hAnsi="宋体" w:eastAsia="仿宋_GB2312" w:cs="宋体"/>
          <w:kern w:val="0"/>
          <w:sz w:val="32"/>
          <w:szCs w:val="32"/>
          <w:highlight w:val="none"/>
          <w:lang w:val="en-US" w:eastAsia="zh-CN"/>
        </w:rPr>
        <w:t>和住房发展</w:t>
      </w:r>
      <w:r>
        <w:rPr>
          <w:rFonts w:hint="eastAsia" w:ascii="仿宋_GB2312" w:hAnsi="宋体" w:eastAsia="仿宋_GB2312" w:cs="宋体"/>
          <w:kern w:val="0"/>
          <w:sz w:val="32"/>
          <w:szCs w:val="32"/>
          <w:highlight w:val="none"/>
        </w:rPr>
        <w:t>的责任；</w:t>
      </w:r>
    </w:p>
    <w:p>
      <w:pPr>
        <w:spacing w:line="600" w:lineRule="exact"/>
        <w:ind w:firstLine="640" w:firstLineChars="200"/>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lang w:eastAsia="zh-CN"/>
        </w:rPr>
        <w:t>（</w:t>
      </w:r>
      <w:r>
        <w:rPr>
          <w:rFonts w:hint="eastAsia" w:ascii="仿宋_GB2312" w:hAnsi="宋体" w:eastAsia="仿宋_GB2312" w:cs="宋体"/>
          <w:kern w:val="0"/>
          <w:sz w:val="32"/>
          <w:szCs w:val="32"/>
          <w:highlight w:val="none"/>
          <w:lang w:val="en-US" w:eastAsia="zh-CN"/>
        </w:rPr>
        <w:t>3</w:t>
      </w:r>
      <w:r>
        <w:rPr>
          <w:rFonts w:hint="eastAsia" w:ascii="仿宋_GB2312" w:hAnsi="宋体" w:eastAsia="仿宋_GB2312" w:cs="宋体"/>
          <w:kern w:val="0"/>
          <w:sz w:val="32"/>
          <w:szCs w:val="32"/>
          <w:highlight w:val="none"/>
          <w:lang w:eastAsia="zh-CN"/>
        </w:rPr>
        <w:t>）</w:t>
      </w:r>
      <w:r>
        <w:rPr>
          <w:rFonts w:hint="eastAsia" w:ascii="仿宋_GB2312" w:hAnsi="宋体" w:eastAsia="仿宋_GB2312" w:cs="宋体"/>
          <w:kern w:val="0"/>
          <w:sz w:val="32"/>
          <w:szCs w:val="32"/>
          <w:highlight w:val="none"/>
          <w:lang w:val="en-US" w:eastAsia="zh-CN"/>
        </w:rPr>
        <w:t>负责房地产市场监督管理工作</w:t>
      </w:r>
      <w:r>
        <w:rPr>
          <w:rFonts w:hint="eastAsia" w:ascii="仿宋_GB2312" w:hAnsi="宋体" w:eastAsia="仿宋_GB2312" w:cs="宋体"/>
          <w:kern w:val="0"/>
          <w:sz w:val="32"/>
          <w:szCs w:val="32"/>
          <w:highlight w:val="none"/>
        </w:rPr>
        <w:t>；</w:t>
      </w:r>
    </w:p>
    <w:p>
      <w:pPr>
        <w:spacing w:line="600" w:lineRule="exact"/>
        <w:ind w:firstLine="640" w:firstLineChars="200"/>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lang w:eastAsia="zh-CN"/>
        </w:rPr>
        <w:t>（</w:t>
      </w:r>
      <w:r>
        <w:rPr>
          <w:rFonts w:hint="eastAsia" w:ascii="仿宋_GB2312" w:hAnsi="宋体" w:eastAsia="仿宋_GB2312" w:cs="宋体"/>
          <w:kern w:val="0"/>
          <w:sz w:val="32"/>
          <w:szCs w:val="32"/>
          <w:highlight w:val="none"/>
          <w:lang w:val="en-US" w:eastAsia="zh-CN"/>
        </w:rPr>
        <w:t>4</w:t>
      </w:r>
      <w:r>
        <w:rPr>
          <w:rFonts w:hint="eastAsia" w:ascii="仿宋_GB2312" w:hAnsi="宋体" w:eastAsia="仿宋_GB2312" w:cs="宋体"/>
          <w:kern w:val="0"/>
          <w:sz w:val="32"/>
          <w:szCs w:val="32"/>
          <w:highlight w:val="none"/>
          <w:lang w:eastAsia="zh-CN"/>
        </w:rPr>
        <w:t>）</w:t>
      </w:r>
      <w:r>
        <w:rPr>
          <w:rFonts w:hint="eastAsia" w:ascii="仿宋_GB2312" w:hAnsi="宋体" w:eastAsia="仿宋_GB2312" w:cs="宋体"/>
          <w:kern w:val="0"/>
          <w:sz w:val="32"/>
          <w:szCs w:val="32"/>
          <w:highlight w:val="none"/>
        </w:rPr>
        <w:t>承担建筑市场监督管理的责任、</w:t>
      </w:r>
      <w:r>
        <w:rPr>
          <w:rFonts w:hint="eastAsia" w:ascii="仿宋_GB2312" w:hAnsi="宋体" w:eastAsia="仿宋_GB2312" w:cs="宋体"/>
          <w:kern w:val="0"/>
          <w:sz w:val="32"/>
          <w:szCs w:val="32"/>
          <w:highlight w:val="none"/>
          <w:lang w:val="en-US" w:eastAsia="zh-CN"/>
        </w:rPr>
        <w:t>指导</w:t>
      </w:r>
      <w:r>
        <w:rPr>
          <w:rFonts w:hint="eastAsia" w:ascii="仿宋_GB2312" w:hAnsi="宋体" w:eastAsia="仿宋_GB2312" w:cs="宋体"/>
          <w:kern w:val="0"/>
          <w:sz w:val="32"/>
          <w:szCs w:val="32"/>
          <w:highlight w:val="none"/>
        </w:rPr>
        <w:t>建安区村镇建设的责任；</w:t>
      </w:r>
    </w:p>
    <w:p>
      <w:pPr>
        <w:spacing w:line="600" w:lineRule="exact"/>
        <w:ind w:firstLine="640" w:firstLineChars="200"/>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lang w:eastAsia="zh-CN"/>
        </w:rPr>
        <w:t>（</w:t>
      </w:r>
      <w:r>
        <w:rPr>
          <w:rFonts w:hint="eastAsia" w:ascii="仿宋_GB2312" w:hAnsi="宋体" w:eastAsia="仿宋_GB2312" w:cs="宋体"/>
          <w:kern w:val="0"/>
          <w:sz w:val="32"/>
          <w:szCs w:val="32"/>
          <w:highlight w:val="none"/>
          <w:lang w:val="en-US" w:eastAsia="zh-CN"/>
        </w:rPr>
        <w:t>5</w:t>
      </w:r>
      <w:r>
        <w:rPr>
          <w:rFonts w:hint="eastAsia" w:ascii="仿宋_GB2312" w:hAnsi="宋体" w:eastAsia="仿宋_GB2312" w:cs="宋体"/>
          <w:kern w:val="0"/>
          <w:sz w:val="32"/>
          <w:szCs w:val="32"/>
          <w:highlight w:val="none"/>
          <w:lang w:eastAsia="zh-CN"/>
        </w:rPr>
        <w:t>）</w:t>
      </w:r>
      <w:r>
        <w:rPr>
          <w:rFonts w:hint="eastAsia" w:ascii="仿宋_GB2312" w:hAnsi="宋体" w:eastAsia="仿宋_GB2312" w:cs="宋体"/>
          <w:kern w:val="0"/>
          <w:sz w:val="32"/>
          <w:szCs w:val="32"/>
          <w:highlight w:val="none"/>
        </w:rPr>
        <w:t>承担建筑工程质量安全监管的责任，承担推进建筑节能城镇减排的责任。</w:t>
      </w:r>
    </w:p>
    <w:p>
      <w:pPr>
        <w:spacing w:line="600" w:lineRule="exact"/>
        <w:ind w:firstLine="640" w:firstLineChars="200"/>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lang w:eastAsia="zh-CN"/>
        </w:rPr>
        <w:t>（</w:t>
      </w:r>
      <w:r>
        <w:rPr>
          <w:rFonts w:hint="eastAsia" w:ascii="仿宋_GB2312" w:hAnsi="宋体" w:eastAsia="仿宋_GB2312" w:cs="宋体"/>
          <w:kern w:val="0"/>
          <w:sz w:val="32"/>
          <w:szCs w:val="32"/>
          <w:highlight w:val="none"/>
          <w:lang w:val="en-US" w:eastAsia="zh-CN"/>
        </w:rPr>
        <w:t>6</w:t>
      </w:r>
      <w:r>
        <w:rPr>
          <w:rFonts w:hint="eastAsia" w:ascii="仿宋_GB2312" w:hAnsi="宋体" w:eastAsia="仿宋_GB2312" w:cs="宋体"/>
          <w:kern w:val="0"/>
          <w:sz w:val="32"/>
          <w:szCs w:val="32"/>
          <w:highlight w:val="none"/>
          <w:lang w:eastAsia="zh-CN"/>
        </w:rPr>
        <w:t>）</w:t>
      </w:r>
      <w:r>
        <w:rPr>
          <w:rFonts w:hint="eastAsia" w:ascii="仿宋_GB2312" w:hAnsi="宋体" w:eastAsia="仿宋_GB2312" w:cs="宋体"/>
          <w:kern w:val="0"/>
          <w:sz w:val="32"/>
          <w:szCs w:val="32"/>
          <w:highlight w:val="none"/>
        </w:rPr>
        <w:t>负责建安区城建监察工作，依法查处各种建设违规违法案件；</w:t>
      </w:r>
    </w:p>
    <w:p>
      <w:pPr>
        <w:spacing w:line="600" w:lineRule="exact"/>
        <w:ind w:firstLine="640" w:firstLineChars="200"/>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lang w:eastAsia="zh-CN"/>
        </w:rPr>
        <w:t>（</w:t>
      </w:r>
      <w:r>
        <w:rPr>
          <w:rFonts w:hint="eastAsia" w:ascii="仿宋_GB2312" w:hAnsi="宋体" w:eastAsia="仿宋_GB2312" w:cs="宋体"/>
          <w:kern w:val="0"/>
          <w:sz w:val="32"/>
          <w:szCs w:val="32"/>
          <w:highlight w:val="none"/>
          <w:lang w:val="en-US" w:eastAsia="zh-CN"/>
        </w:rPr>
        <w:t>7</w:t>
      </w:r>
      <w:r>
        <w:rPr>
          <w:rFonts w:hint="eastAsia" w:ascii="仿宋_GB2312" w:hAnsi="宋体" w:eastAsia="仿宋_GB2312" w:cs="宋体"/>
          <w:kern w:val="0"/>
          <w:sz w:val="32"/>
          <w:szCs w:val="32"/>
          <w:highlight w:val="none"/>
          <w:lang w:eastAsia="zh-CN"/>
        </w:rPr>
        <w:t>）</w:t>
      </w:r>
      <w:r>
        <w:rPr>
          <w:rFonts w:hint="eastAsia" w:ascii="仿宋_GB2312" w:hAnsi="宋体" w:eastAsia="仿宋_GB2312" w:cs="宋体"/>
          <w:kern w:val="0"/>
          <w:sz w:val="32"/>
          <w:szCs w:val="32"/>
          <w:highlight w:val="none"/>
        </w:rPr>
        <w:t>承担建安区城市市容市貌管理的责任；</w:t>
      </w:r>
    </w:p>
    <w:p>
      <w:pPr>
        <w:widowControl/>
        <w:ind w:firstLine="640" w:firstLineChars="200"/>
        <w:jc w:val="left"/>
        <w:outlineLvl w:val="1"/>
        <w:rPr>
          <w:rFonts w:hint="eastAsia" w:ascii="仿宋_GB2312" w:hAnsi="宋体" w:eastAsia="仿宋_GB2312" w:cs="宋体"/>
          <w:kern w:val="0"/>
          <w:sz w:val="32"/>
          <w:szCs w:val="32"/>
          <w:highlight w:val="none"/>
          <w:lang w:eastAsia="zh-CN"/>
        </w:rPr>
      </w:pPr>
      <w:r>
        <w:rPr>
          <w:rFonts w:hint="eastAsia" w:ascii="仿宋_GB2312" w:hAnsi="宋体" w:eastAsia="仿宋_GB2312" w:cs="宋体"/>
          <w:kern w:val="0"/>
          <w:sz w:val="32"/>
          <w:szCs w:val="32"/>
          <w:highlight w:val="none"/>
          <w:lang w:eastAsia="zh-CN"/>
        </w:rPr>
        <w:t>（</w:t>
      </w:r>
      <w:r>
        <w:rPr>
          <w:rFonts w:hint="eastAsia" w:ascii="仿宋_GB2312" w:hAnsi="宋体" w:eastAsia="仿宋_GB2312" w:cs="宋体"/>
          <w:kern w:val="0"/>
          <w:sz w:val="32"/>
          <w:szCs w:val="32"/>
          <w:highlight w:val="none"/>
          <w:lang w:val="en-US" w:eastAsia="zh-CN"/>
        </w:rPr>
        <w:t>8</w:t>
      </w:r>
      <w:r>
        <w:rPr>
          <w:rFonts w:hint="eastAsia" w:ascii="仿宋_GB2312" w:hAnsi="宋体" w:eastAsia="仿宋_GB2312" w:cs="宋体"/>
          <w:kern w:val="0"/>
          <w:sz w:val="32"/>
          <w:szCs w:val="32"/>
          <w:highlight w:val="none"/>
          <w:lang w:eastAsia="zh-CN"/>
        </w:rPr>
        <w:t>）</w:t>
      </w:r>
      <w:r>
        <w:rPr>
          <w:rFonts w:hint="eastAsia" w:ascii="仿宋_GB2312" w:hAnsi="宋体" w:eastAsia="仿宋_GB2312" w:cs="宋体"/>
          <w:kern w:val="0"/>
          <w:sz w:val="32"/>
          <w:szCs w:val="32"/>
          <w:highlight w:val="none"/>
        </w:rPr>
        <w:t>承办建安区人民政府交办的其他事项</w:t>
      </w:r>
      <w:r>
        <w:rPr>
          <w:rFonts w:hint="eastAsia" w:ascii="仿宋_GB2312" w:hAnsi="宋体" w:eastAsia="仿宋_GB2312" w:cs="宋体"/>
          <w:kern w:val="0"/>
          <w:sz w:val="32"/>
          <w:szCs w:val="32"/>
          <w:highlight w:val="none"/>
          <w:lang w:eastAsia="zh-CN"/>
        </w:rPr>
        <w:t>。</w:t>
      </w:r>
    </w:p>
    <w:p>
      <w:pPr>
        <w:pStyle w:val="2"/>
        <w:ind w:firstLine="643" w:firstLineChars="200"/>
        <w:jc w:val="left"/>
        <w:rPr>
          <w:rFonts w:hint="default" w:ascii="仿宋_GB2312" w:hAnsi="宋体" w:eastAsia="仿宋_GB2312" w:cs="宋体"/>
          <w:b/>
          <w:bCs/>
          <w:kern w:val="0"/>
          <w:sz w:val="32"/>
          <w:szCs w:val="32"/>
          <w:highlight w:val="none"/>
          <w:lang w:val="en-US" w:eastAsia="zh-CN"/>
        </w:rPr>
      </w:pPr>
      <w:r>
        <w:rPr>
          <w:rFonts w:hint="eastAsia" w:ascii="仿宋_GB2312" w:hAnsi="宋体" w:eastAsia="仿宋_GB2312" w:cs="宋体"/>
          <w:b/>
          <w:bCs/>
          <w:kern w:val="0"/>
          <w:sz w:val="32"/>
          <w:szCs w:val="32"/>
          <w:highlight w:val="none"/>
          <w:lang w:val="en-US" w:eastAsia="zh-CN"/>
        </w:rPr>
        <w:t>2.人员构成情况</w:t>
      </w:r>
    </w:p>
    <w:p>
      <w:pPr>
        <w:adjustRightInd w:val="0"/>
        <w:snapToGrid w:val="0"/>
        <w:spacing w:line="360" w:lineRule="auto"/>
        <w:ind w:firstLine="640" w:firstLineChars="200"/>
        <w:rPr>
          <w:rFonts w:hint="default" w:ascii="仿宋_GB2312" w:hAnsi="宋体" w:eastAsia="仿宋_GB2312" w:cs="宋体"/>
          <w:kern w:val="0"/>
          <w:sz w:val="32"/>
          <w:szCs w:val="32"/>
          <w:highlight w:val="none"/>
          <w:lang w:val="en-US" w:eastAsia="zh-CN"/>
        </w:rPr>
      </w:pPr>
      <w:r>
        <w:rPr>
          <w:rFonts w:hint="eastAsia" w:ascii="仿宋_GB2312" w:hAnsi="仿宋_GB2312" w:eastAsia="仿宋_GB2312" w:cs="仿宋_GB2312"/>
          <w:sz w:val="32"/>
          <w:szCs w:val="32"/>
          <w:highlight w:val="none"/>
          <w:lang w:val="en-US" w:eastAsia="zh-CN"/>
        </w:rPr>
        <w:t>许昌市建安区住房和城乡建设局</w:t>
      </w:r>
      <w:r>
        <w:rPr>
          <w:rFonts w:hint="eastAsia" w:ascii="仿宋_GB2312" w:hAnsi="仿宋_GB2312" w:eastAsia="仿宋_GB2312" w:cs="仿宋_GB2312"/>
          <w:sz w:val="32"/>
          <w:szCs w:val="32"/>
          <w:highlight w:val="none"/>
        </w:rPr>
        <w:t>共有编制</w:t>
      </w:r>
      <w:r>
        <w:rPr>
          <w:rFonts w:hint="eastAsia" w:ascii="仿宋_GB2312" w:hAnsi="仿宋_GB2312" w:eastAsia="仿宋_GB2312" w:cs="仿宋_GB2312"/>
          <w:sz w:val="32"/>
          <w:szCs w:val="32"/>
          <w:highlight w:val="none"/>
          <w:lang w:val="en-US" w:eastAsia="zh-CN"/>
        </w:rPr>
        <w:t>17</w:t>
      </w:r>
      <w:r>
        <w:rPr>
          <w:rFonts w:hint="eastAsia" w:ascii="仿宋_GB2312" w:hAnsi="仿宋_GB2312" w:eastAsia="仿宋_GB2312" w:cs="仿宋_GB2312"/>
          <w:sz w:val="32"/>
          <w:szCs w:val="32"/>
          <w:highlight w:val="none"/>
        </w:rPr>
        <w:t>名，其中：行政编制</w:t>
      </w:r>
      <w:r>
        <w:rPr>
          <w:rFonts w:hint="eastAsia" w:ascii="仿宋_GB2312" w:hAnsi="仿宋_GB2312" w:eastAsia="仿宋_GB2312" w:cs="仿宋_GB2312"/>
          <w:sz w:val="32"/>
          <w:szCs w:val="32"/>
          <w:highlight w:val="none"/>
          <w:lang w:val="en-US" w:eastAsia="zh-CN"/>
        </w:rPr>
        <w:t>16</w:t>
      </w:r>
      <w:r>
        <w:rPr>
          <w:rFonts w:hint="eastAsia" w:ascii="仿宋_GB2312" w:hAnsi="仿宋_GB2312" w:eastAsia="仿宋_GB2312" w:cs="仿宋_GB2312"/>
          <w:sz w:val="32"/>
          <w:szCs w:val="32"/>
          <w:highlight w:val="none"/>
        </w:rPr>
        <w:t>名（公务员编制</w:t>
      </w:r>
      <w:r>
        <w:rPr>
          <w:rFonts w:hint="eastAsia" w:ascii="仿宋_GB2312" w:hAnsi="仿宋_GB2312" w:eastAsia="仿宋_GB2312" w:cs="仿宋_GB2312"/>
          <w:sz w:val="32"/>
          <w:szCs w:val="32"/>
          <w:highlight w:val="none"/>
          <w:lang w:val="en-US" w:eastAsia="zh-CN"/>
        </w:rPr>
        <w:t>15</w:t>
      </w:r>
      <w:r>
        <w:rPr>
          <w:rFonts w:hint="eastAsia" w:ascii="仿宋_GB2312" w:hAnsi="仿宋_GB2312" w:eastAsia="仿宋_GB2312" w:cs="仿宋_GB2312"/>
          <w:sz w:val="32"/>
          <w:szCs w:val="32"/>
          <w:highlight w:val="none"/>
        </w:rPr>
        <w:t>名，工勤编制</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名），事业编制</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名（管理岗位</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名，专业技术岗位</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名，工勤岗位</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名）。现有在职人数</w:t>
      </w:r>
      <w:r>
        <w:rPr>
          <w:rFonts w:hint="eastAsia" w:ascii="仿宋_GB2312" w:hAnsi="仿宋_GB2312" w:eastAsia="仿宋_GB2312" w:cs="仿宋_GB2312"/>
          <w:sz w:val="32"/>
          <w:szCs w:val="32"/>
          <w:highlight w:val="none"/>
          <w:lang w:val="en-US" w:eastAsia="zh-CN"/>
        </w:rPr>
        <w:t>20</w:t>
      </w:r>
      <w:r>
        <w:rPr>
          <w:rFonts w:hint="eastAsia" w:ascii="仿宋_GB2312" w:hAnsi="仿宋_GB2312" w:eastAsia="仿宋_GB2312" w:cs="仿宋_GB2312"/>
          <w:sz w:val="32"/>
          <w:szCs w:val="32"/>
          <w:highlight w:val="none"/>
        </w:rPr>
        <w:t>人，离退休人数</w:t>
      </w:r>
      <w:r>
        <w:rPr>
          <w:rFonts w:hint="eastAsia" w:ascii="仿宋_GB2312" w:hAnsi="仿宋_GB2312" w:eastAsia="仿宋_GB2312" w:cs="仿宋_GB2312"/>
          <w:sz w:val="32"/>
          <w:szCs w:val="32"/>
          <w:highlight w:val="none"/>
          <w:lang w:val="en-US" w:eastAsia="zh-CN"/>
        </w:rPr>
        <w:t>22</w:t>
      </w:r>
      <w:r>
        <w:rPr>
          <w:rFonts w:hint="eastAsia" w:ascii="仿宋_GB2312" w:hAnsi="仿宋_GB2312" w:eastAsia="仿宋_GB2312" w:cs="仿宋_GB2312"/>
          <w:sz w:val="32"/>
          <w:szCs w:val="32"/>
          <w:highlight w:val="none"/>
        </w:rPr>
        <w:t>人。</w:t>
      </w:r>
    </w:p>
    <w:p>
      <w:pPr>
        <w:widowControl/>
        <w:ind w:firstLine="640" w:firstLineChars="200"/>
        <w:jc w:val="left"/>
        <w:outlineLvl w:val="1"/>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lang w:val="en-US" w:eastAsia="zh-CN"/>
        </w:rPr>
        <w:t>二、机构设置</w:t>
      </w:r>
    </w:p>
    <w:p>
      <w:pPr>
        <w:widowControl/>
        <w:ind w:firstLine="640" w:firstLineChars="200"/>
        <w:jc w:val="left"/>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rPr>
        <w:t>许昌市</w:t>
      </w:r>
      <w:r>
        <w:rPr>
          <w:rFonts w:hint="eastAsia" w:ascii="仿宋_GB2312" w:hAnsi="仿宋" w:eastAsia="仿宋_GB2312"/>
          <w:sz w:val="32"/>
          <w:szCs w:val="32"/>
          <w:highlight w:val="none"/>
          <w:lang w:eastAsia="zh-CN"/>
        </w:rPr>
        <w:t>建安区</w:t>
      </w:r>
      <w:r>
        <w:rPr>
          <w:rFonts w:hint="eastAsia" w:ascii="仿宋_GB2312" w:hAnsi="仿宋" w:eastAsia="仿宋_GB2312"/>
          <w:sz w:val="32"/>
          <w:szCs w:val="32"/>
          <w:highlight w:val="none"/>
        </w:rPr>
        <w:t>住房和</w:t>
      </w:r>
      <w:r>
        <w:rPr>
          <w:rFonts w:hint="eastAsia" w:ascii="仿宋_GB2312" w:hAnsi="仿宋" w:eastAsia="仿宋_GB2312"/>
          <w:sz w:val="32"/>
          <w:szCs w:val="32"/>
          <w:highlight w:val="none"/>
          <w:lang w:eastAsia="zh-CN"/>
        </w:rPr>
        <w:t>城乡</w:t>
      </w:r>
      <w:r>
        <w:rPr>
          <w:rFonts w:hint="eastAsia" w:ascii="仿宋_GB2312" w:hAnsi="仿宋" w:eastAsia="仿宋_GB2312"/>
          <w:sz w:val="32"/>
          <w:szCs w:val="32"/>
          <w:highlight w:val="none"/>
        </w:rPr>
        <w:t>建设局下设</w:t>
      </w:r>
      <w:r>
        <w:rPr>
          <w:rFonts w:hint="eastAsia" w:ascii="仿宋_GB2312" w:hAnsi="仿宋" w:eastAsia="仿宋_GB2312"/>
          <w:sz w:val="32"/>
          <w:szCs w:val="32"/>
          <w:highlight w:val="none"/>
          <w:lang w:val="en-US" w:eastAsia="zh-CN"/>
        </w:rPr>
        <w:t>6</w:t>
      </w:r>
      <w:r>
        <w:rPr>
          <w:rFonts w:hint="eastAsia" w:ascii="仿宋_GB2312" w:hAnsi="仿宋" w:eastAsia="仿宋_GB2312"/>
          <w:sz w:val="32"/>
          <w:szCs w:val="32"/>
          <w:highlight w:val="none"/>
        </w:rPr>
        <w:t>个股室</w:t>
      </w:r>
      <w:r>
        <w:rPr>
          <w:rFonts w:hint="eastAsia" w:ascii="仿宋_GB2312" w:hAnsi="仿宋" w:eastAsia="仿宋_GB2312"/>
          <w:sz w:val="32"/>
          <w:szCs w:val="32"/>
          <w:highlight w:val="none"/>
          <w:lang w:eastAsia="zh-CN"/>
        </w:rPr>
        <w:t>，包括</w:t>
      </w:r>
      <w:r>
        <w:rPr>
          <w:rFonts w:hint="eastAsia" w:ascii="仿宋_GB2312" w:hAnsi="仿宋" w:eastAsia="仿宋_GB2312"/>
          <w:sz w:val="32"/>
          <w:szCs w:val="32"/>
          <w:highlight w:val="none"/>
        </w:rPr>
        <w:t>建安区住建局办公室</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行政审批与</w:t>
      </w:r>
      <w:r>
        <w:rPr>
          <w:rFonts w:hint="eastAsia" w:ascii="仿宋_GB2312" w:hAnsi="仿宋" w:eastAsia="仿宋_GB2312"/>
          <w:sz w:val="32"/>
          <w:szCs w:val="32"/>
          <w:highlight w:val="none"/>
        </w:rPr>
        <w:t>政策法规股</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住房保障</w:t>
      </w:r>
      <w:r>
        <w:rPr>
          <w:rFonts w:hint="eastAsia" w:ascii="仿宋_GB2312" w:hAnsi="仿宋" w:eastAsia="仿宋_GB2312"/>
          <w:sz w:val="32"/>
          <w:szCs w:val="32"/>
          <w:highlight w:val="none"/>
          <w:lang w:val="en-US" w:eastAsia="zh-CN"/>
        </w:rPr>
        <w:t>与房地产市场管理</w:t>
      </w:r>
      <w:r>
        <w:rPr>
          <w:rFonts w:hint="eastAsia" w:ascii="仿宋_GB2312" w:hAnsi="仿宋" w:eastAsia="仿宋_GB2312"/>
          <w:sz w:val="32"/>
          <w:szCs w:val="32"/>
          <w:highlight w:val="none"/>
        </w:rPr>
        <w:t>股</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建筑管理股</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城乡建设股</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建设工程消防验收</w:t>
      </w:r>
      <w:r>
        <w:rPr>
          <w:rFonts w:hint="eastAsia" w:ascii="仿宋_GB2312" w:hAnsi="仿宋" w:eastAsia="仿宋_GB2312"/>
          <w:sz w:val="32"/>
          <w:szCs w:val="32"/>
          <w:highlight w:val="none"/>
        </w:rPr>
        <w:t>股</w:t>
      </w:r>
      <w:r>
        <w:rPr>
          <w:rFonts w:hint="eastAsia" w:ascii="仿宋_GB2312" w:hAnsi="仿宋" w:eastAsia="仿宋_GB2312"/>
          <w:sz w:val="32"/>
          <w:szCs w:val="32"/>
          <w:highlight w:val="none"/>
          <w:lang w:eastAsia="zh-CN"/>
        </w:rPr>
        <w:t>。</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从决算单位构成看，</w:t>
      </w:r>
      <w:r>
        <w:rPr>
          <w:rFonts w:hint="eastAsia" w:ascii="仿宋_GB2312" w:hAnsi="仿宋" w:eastAsia="仿宋_GB2312"/>
          <w:sz w:val="32"/>
          <w:szCs w:val="32"/>
          <w:highlight w:val="none"/>
        </w:rPr>
        <w:t>许昌市</w:t>
      </w:r>
      <w:r>
        <w:rPr>
          <w:rFonts w:hint="eastAsia" w:ascii="仿宋_GB2312" w:hAnsi="仿宋" w:eastAsia="仿宋_GB2312"/>
          <w:sz w:val="32"/>
          <w:szCs w:val="32"/>
          <w:highlight w:val="none"/>
          <w:lang w:eastAsia="zh-CN"/>
        </w:rPr>
        <w:t>建安区</w:t>
      </w:r>
      <w:r>
        <w:rPr>
          <w:rFonts w:hint="eastAsia" w:ascii="仿宋_GB2312" w:hAnsi="仿宋" w:eastAsia="仿宋_GB2312"/>
          <w:sz w:val="32"/>
          <w:szCs w:val="32"/>
          <w:highlight w:val="none"/>
        </w:rPr>
        <w:t>住房和</w:t>
      </w:r>
      <w:r>
        <w:rPr>
          <w:rFonts w:hint="eastAsia" w:ascii="仿宋_GB2312" w:hAnsi="仿宋" w:eastAsia="仿宋_GB2312"/>
          <w:sz w:val="32"/>
          <w:szCs w:val="32"/>
          <w:highlight w:val="none"/>
          <w:lang w:eastAsia="zh-CN"/>
        </w:rPr>
        <w:t>城乡</w:t>
      </w:r>
      <w:r>
        <w:rPr>
          <w:rFonts w:hint="eastAsia" w:ascii="仿宋_GB2312" w:hAnsi="仿宋" w:eastAsia="仿宋_GB2312"/>
          <w:sz w:val="32"/>
          <w:szCs w:val="32"/>
          <w:highlight w:val="none"/>
        </w:rPr>
        <w:t>建设</w:t>
      </w:r>
      <w:r>
        <w:rPr>
          <w:rFonts w:hint="eastAsia" w:ascii="仿宋_GB2312" w:hAnsi="仿宋" w:eastAsia="仿宋_GB2312"/>
          <w:sz w:val="32"/>
          <w:szCs w:val="32"/>
          <w:highlight w:val="none"/>
          <w:lang w:eastAsia="zh-CN"/>
        </w:rPr>
        <w:t>局</w:t>
      </w:r>
      <w:r>
        <w:rPr>
          <w:rFonts w:hint="eastAsia" w:ascii="仿宋_GB2312" w:hAnsi="仿宋_GB2312" w:eastAsia="仿宋_GB2312" w:cs="仿宋_GB2312"/>
          <w:kern w:val="0"/>
          <w:sz w:val="32"/>
          <w:szCs w:val="32"/>
          <w:highlight w:val="none"/>
        </w:rPr>
        <w:t>部门决算包括本级决算。</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pStyle w:val="2"/>
        <w:rPr>
          <w:rFonts w:hint="eastAsia" w:ascii="黑体" w:hAnsi="宋体" w:eastAsia="黑体" w:cs="宋体"/>
          <w:color w:val="auto"/>
          <w:kern w:val="0"/>
          <w:sz w:val="28"/>
          <w:szCs w:val="28"/>
          <w:highlight w:val="none"/>
          <w:lang w:val="en-US" w:eastAsia="zh-CN"/>
        </w:rPr>
      </w:pPr>
    </w:p>
    <w:p>
      <w:pPr>
        <w:pStyle w:val="2"/>
        <w:rPr>
          <w:rFonts w:hint="eastAsia" w:ascii="黑体" w:hAnsi="宋体" w:eastAsia="黑体" w:cs="宋体"/>
          <w:color w:val="auto"/>
          <w:kern w:val="0"/>
          <w:sz w:val="28"/>
          <w:szCs w:val="28"/>
          <w:highlight w:val="none"/>
          <w:lang w:val="en-US" w:eastAsia="zh-CN"/>
        </w:rPr>
      </w:pPr>
    </w:p>
    <w:p>
      <w:pPr>
        <w:pStyle w:val="2"/>
        <w:rPr>
          <w:rFonts w:hint="eastAsia" w:ascii="黑体" w:hAnsi="宋体" w:eastAsia="黑体" w:cs="宋体"/>
          <w:color w:val="auto"/>
          <w:kern w:val="0"/>
          <w:sz w:val="28"/>
          <w:szCs w:val="28"/>
          <w:highlight w:val="none"/>
          <w:lang w:val="en-US" w:eastAsia="zh-CN"/>
        </w:rPr>
      </w:pPr>
    </w:p>
    <w:p>
      <w:pPr>
        <w:pStyle w:val="2"/>
        <w:rPr>
          <w:rFonts w:hint="eastAsia" w:ascii="黑体" w:hAnsi="宋体" w:eastAsia="黑体" w:cs="宋体"/>
          <w:color w:val="auto"/>
          <w:kern w:val="0"/>
          <w:sz w:val="28"/>
          <w:szCs w:val="28"/>
          <w:highlight w:val="none"/>
          <w:lang w:val="en-US" w:eastAsia="zh-CN"/>
        </w:rPr>
      </w:pPr>
    </w:p>
    <w:p>
      <w:pPr>
        <w:pStyle w:val="2"/>
        <w:rPr>
          <w:rFonts w:hint="eastAsia" w:ascii="黑体" w:hAnsi="宋体" w:eastAsia="黑体" w:cs="宋体"/>
          <w:color w:val="auto"/>
          <w:kern w:val="0"/>
          <w:sz w:val="28"/>
          <w:szCs w:val="28"/>
          <w:highlight w:val="none"/>
          <w:lang w:val="en-US" w:eastAsia="zh-CN"/>
        </w:rPr>
      </w:pPr>
    </w:p>
    <w:p>
      <w:pPr>
        <w:pStyle w:val="2"/>
        <w:rPr>
          <w:rFonts w:hint="eastAsia" w:ascii="黑体" w:hAnsi="宋体" w:eastAsia="黑体" w:cs="宋体"/>
          <w:color w:val="auto"/>
          <w:kern w:val="0"/>
          <w:sz w:val="28"/>
          <w:szCs w:val="28"/>
          <w:highlight w:val="none"/>
          <w:lang w:val="en-US" w:eastAsia="zh-CN"/>
        </w:rPr>
      </w:pPr>
    </w:p>
    <w:p>
      <w:pPr>
        <w:pStyle w:val="2"/>
        <w:rPr>
          <w:rFonts w:hint="eastAsia" w:ascii="黑体" w:hAnsi="宋体" w:eastAsia="黑体" w:cs="宋体"/>
          <w:color w:val="auto"/>
          <w:kern w:val="0"/>
          <w:sz w:val="28"/>
          <w:szCs w:val="28"/>
          <w:highlight w:val="none"/>
          <w:lang w:val="en-US" w:eastAsia="zh-CN"/>
        </w:rPr>
      </w:pPr>
    </w:p>
    <w:p>
      <w:pPr>
        <w:pStyle w:val="2"/>
        <w:rPr>
          <w:rFonts w:hint="eastAsia" w:ascii="黑体" w:hAnsi="宋体" w:eastAsia="黑体" w:cs="宋体"/>
          <w:color w:val="auto"/>
          <w:kern w:val="0"/>
          <w:sz w:val="28"/>
          <w:szCs w:val="28"/>
          <w:highlight w:val="none"/>
          <w:lang w:val="en-US" w:eastAsia="zh-CN"/>
        </w:rPr>
      </w:pPr>
    </w:p>
    <w:p>
      <w:pPr>
        <w:pStyle w:val="2"/>
        <w:rPr>
          <w:rFonts w:hint="eastAsia" w:ascii="黑体" w:hAnsi="宋体" w:eastAsia="黑体" w:cs="宋体"/>
          <w:color w:val="auto"/>
          <w:kern w:val="0"/>
          <w:sz w:val="28"/>
          <w:szCs w:val="28"/>
          <w:highlight w:val="none"/>
          <w:lang w:val="en-US" w:eastAsia="zh-CN"/>
        </w:rPr>
      </w:pPr>
    </w:p>
    <w:p>
      <w:pPr>
        <w:pStyle w:val="2"/>
        <w:rPr>
          <w:rFonts w:hint="eastAsia" w:ascii="黑体" w:hAnsi="宋体" w:eastAsia="黑体" w:cs="宋体"/>
          <w:color w:val="auto"/>
          <w:kern w:val="0"/>
          <w:sz w:val="28"/>
          <w:szCs w:val="28"/>
          <w:highlight w:val="none"/>
          <w:lang w:val="en-US" w:eastAsia="zh-CN"/>
        </w:rPr>
      </w:pPr>
    </w:p>
    <w:p>
      <w:pPr>
        <w:pStyle w:val="2"/>
        <w:rPr>
          <w:rFonts w:hint="eastAsia" w:ascii="黑体" w:hAnsi="宋体" w:eastAsia="黑体" w:cs="宋体"/>
          <w:color w:val="auto"/>
          <w:kern w:val="0"/>
          <w:sz w:val="28"/>
          <w:szCs w:val="28"/>
          <w:highlight w:val="none"/>
          <w:lang w:val="en-US" w:eastAsia="zh-CN"/>
        </w:rPr>
      </w:pPr>
    </w:p>
    <w:p>
      <w:pPr>
        <w:pStyle w:val="2"/>
        <w:rPr>
          <w:rFonts w:hint="eastAsia" w:ascii="黑体" w:hAnsi="宋体" w:eastAsia="黑体" w:cs="宋体"/>
          <w:color w:val="auto"/>
          <w:kern w:val="0"/>
          <w:sz w:val="28"/>
          <w:szCs w:val="28"/>
          <w:highlight w:val="none"/>
          <w:lang w:val="en-US" w:eastAsia="zh-CN"/>
        </w:rPr>
      </w:pPr>
    </w:p>
    <w:p>
      <w:pPr>
        <w:pStyle w:val="2"/>
        <w:rPr>
          <w:rFonts w:hint="eastAsia" w:ascii="黑体" w:hAnsi="宋体" w:eastAsia="黑体" w:cs="宋体"/>
          <w:color w:val="auto"/>
          <w:kern w:val="0"/>
          <w:sz w:val="28"/>
          <w:szCs w:val="28"/>
          <w:highlight w:val="none"/>
          <w:lang w:val="en-US" w:eastAsia="zh-CN"/>
        </w:rPr>
      </w:pPr>
    </w:p>
    <w:p>
      <w:pPr>
        <w:pStyle w:val="2"/>
        <w:rPr>
          <w:rFonts w:hint="eastAsia" w:ascii="黑体" w:hAnsi="宋体" w:eastAsia="黑体" w:cs="宋体"/>
          <w:color w:val="auto"/>
          <w:kern w:val="0"/>
          <w:sz w:val="28"/>
          <w:szCs w:val="28"/>
          <w:highlight w:val="none"/>
          <w:lang w:val="en-US" w:eastAsia="zh-CN"/>
        </w:rPr>
      </w:pPr>
    </w:p>
    <w:p>
      <w:pPr>
        <w:pStyle w:val="2"/>
        <w:rPr>
          <w:rFonts w:hint="eastAsia" w:ascii="黑体" w:hAnsi="宋体" w:eastAsia="黑体" w:cs="宋体"/>
          <w:color w:val="auto"/>
          <w:kern w:val="0"/>
          <w:sz w:val="28"/>
          <w:szCs w:val="28"/>
          <w:highlight w:val="none"/>
          <w:lang w:val="en-US" w:eastAsia="zh-CN"/>
        </w:rPr>
      </w:pPr>
    </w:p>
    <w:p>
      <w:pPr>
        <w:pStyle w:val="2"/>
        <w:rPr>
          <w:rFonts w:hint="eastAsia" w:ascii="黑体" w:hAnsi="宋体" w:eastAsia="黑体" w:cs="宋体"/>
          <w:color w:val="auto"/>
          <w:kern w:val="0"/>
          <w:sz w:val="28"/>
          <w:szCs w:val="28"/>
          <w:highlight w:val="none"/>
          <w:lang w:val="en-US" w:eastAsia="zh-CN"/>
        </w:rPr>
      </w:pPr>
    </w:p>
    <w:p>
      <w:pPr>
        <w:pStyle w:val="2"/>
        <w:rPr>
          <w:rFonts w:hint="eastAsia" w:ascii="黑体" w:hAnsi="宋体" w:eastAsia="黑体" w:cs="宋体"/>
          <w:color w:val="auto"/>
          <w:kern w:val="0"/>
          <w:sz w:val="28"/>
          <w:szCs w:val="28"/>
          <w:highlight w:val="none"/>
          <w:lang w:val="en-US" w:eastAsia="zh-CN"/>
        </w:rPr>
      </w:pPr>
    </w:p>
    <w:p>
      <w:pPr>
        <w:pStyle w:val="2"/>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w:t>
      </w:r>
      <w:r>
        <w:rPr>
          <w:rFonts w:hint="eastAsia" w:ascii="黑体" w:hAnsi="黑体" w:eastAsia="黑体" w:cs="黑体"/>
          <w:color w:val="auto"/>
          <w:sz w:val="48"/>
          <w:szCs w:val="48"/>
          <w:highlight w:val="none"/>
          <w:lang w:eastAsia="zh-CN"/>
        </w:rPr>
        <w:t>二</w:t>
      </w:r>
      <w:r>
        <w:rPr>
          <w:rFonts w:hint="eastAsia" w:ascii="黑体" w:hAnsi="黑体" w:eastAsia="黑体" w:cs="黑体"/>
          <w:color w:val="auto"/>
          <w:sz w:val="48"/>
          <w:szCs w:val="48"/>
          <w:highlight w:val="none"/>
        </w:rPr>
        <w:t>部分</w:t>
      </w:r>
      <w:r>
        <w:rPr>
          <w:rFonts w:hint="eastAsia" w:ascii="黑体" w:hAnsi="黑体" w:eastAsia="黑体" w:cs="黑体"/>
          <w:color w:val="auto"/>
          <w:sz w:val="48"/>
          <w:szCs w:val="48"/>
          <w:highlight w:val="none"/>
          <w:lang w:val="en-US" w:eastAsia="zh-CN"/>
        </w:rPr>
        <w:t xml:space="preserve">  </w:t>
      </w:r>
      <w:r>
        <w:rPr>
          <w:rFonts w:hint="eastAsia" w:ascii="黑体" w:hAnsi="黑体" w:eastAsia="黑体" w:cs="黑体"/>
          <w:color w:val="auto"/>
          <w:sz w:val="48"/>
          <w:szCs w:val="48"/>
          <w:highlight w:val="none"/>
          <w:lang w:eastAsia="zh-CN"/>
        </w:rPr>
        <w:t>20</w:t>
      </w:r>
      <w:r>
        <w:rPr>
          <w:rFonts w:hint="eastAsia" w:ascii="黑体" w:hAnsi="黑体" w:eastAsia="黑体" w:cs="黑体"/>
          <w:color w:val="auto"/>
          <w:sz w:val="48"/>
          <w:szCs w:val="48"/>
          <w:highlight w:val="none"/>
          <w:lang w:val="en-US" w:eastAsia="zh-CN"/>
        </w:rPr>
        <w:t>21</w:t>
      </w:r>
      <w:r>
        <w:rPr>
          <w:rFonts w:hint="eastAsia" w:ascii="黑体" w:hAnsi="黑体" w:eastAsia="黑体" w:cs="黑体"/>
          <w:color w:val="auto"/>
          <w:sz w:val="48"/>
          <w:szCs w:val="48"/>
          <w:highlight w:val="none"/>
          <w:lang w:eastAsia="zh-CN"/>
        </w:rPr>
        <w:t>年度</w:t>
      </w:r>
      <w:r>
        <w:rPr>
          <w:rFonts w:hint="eastAsia" w:ascii="黑体" w:hAnsi="黑体" w:eastAsia="黑体" w:cs="黑体"/>
          <w:color w:val="auto"/>
          <w:sz w:val="48"/>
          <w:szCs w:val="48"/>
          <w:highlight w:val="none"/>
        </w:rPr>
        <w:t>部门决算表</w:t>
      </w: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sectPr>
          <w:pgSz w:w="11906" w:h="16838"/>
          <w:pgMar w:top="1440" w:right="1800" w:bottom="1440" w:left="1800" w:header="720" w:footer="720" w:gutter="0"/>
          <w:pgNumType w:fmt="numberInDash"/>
          <w:cols w:space="720" w:num="1"/>
          <w:docGrid w:type="lines" w:linePitch="312" w:charSpace="0"/>
        </w:sectPr>
      </w:pPr>
    </w:p>
    <w:tbl>
      <w:tblPr>
        <w:tblStyle w:val="10"/>
        <w:tblW w:w="14081" w:type="dxa"/>
        <w:tblInd w:w="93" w:type="dxa"/>
        <w:tblLayout w:type="fixed"/>
        <w:tblCellMar>
          <w:top w:w="0" w:type="dxa"/>
          <w:left w:w="108" w:type="dxa"/>
          <w:bottom w:w="0" w:type="dxa"/>
          <w:right w:w="108" w:type="dxa"/>
        </w:tblCellMar>
      </w:tblPr>
      <w:tblGrid>
        <w:gridCol w:w="4620"/>
        <w:gridCol w:w="811"/>
        <w:gridCol w:w="1491"/>
        <w:gridCol w:w="4348"/>
        <w:gridCol w:w="811"/>
        <w:gridCol w:w="2000"/>
      </w:tblGrid>
      <w:tr>
        <w:tblPrEx>
          <w:tblCellMar>
            <w:top w:w="0" w:type="dxa"/>
            <w:left w:w="108" w:type="dxa"/>
            <w:bottom w:w="0" w:type="dxa"/>
            <w:right w:w="108" w:type="dxa"/>
          </w:tblCellMar>
        </w:tblPrEx>
        <w:trPr>
          <w:trHeight w:val="390" w:hRule="atLeast"/>
        </w:trPr>
        <w:tc>
          <w:tcPr>
            <w:tcW w:w="14081" w:type="dxa"/>
            <w:gridSpan w:val="6"/>
            <w:tcBorders>
              <w:top w:val="nil"/>
              <w:left w:val="nil"/>
              <w:bottom w:val="nil"/>
              <w:right w:val="nil"/>
            </w:tcBorders>
            <w:noWrap w:val="0"/>
            <w:vAlign w:val="bottom"/>
          </w:tcPr>
          <w:p>
            <w:pPr>
              <w:jc w:val="center"/>
              <w:rPr>
                <w:rFonts w:hint="default" w:ascii="Arial" w:hAnsi="Arial" w:cs="Arial"/>
                <w:i w:val="0"/>
                <w:iCs w:val="0"/>
                <w:color w:val="000000"/>
                <w:sz w:val="20"/>
                <w:szCs w:val="20"/>
                <w:highlight w:val="none"/>
                <w:u w:val="none"/>
              </w:rPr>
            </w:pPr>
            <w:r>
              <w:rPr>
                <w:rFonts w:hint="eastAsia" w:ascii="宋体" w:hAnsi="宋体" w:eastAsia="宋体" w:cs="宋体"/>
                <w:i w:val="0"/>
                <w:iCs w:val="0"/>
                <w:color w:val="000000"/>
                <w:kern w:val="0"/>
                <w:sz w:val="30"/>
                <w:szCs w:val="30"/>
                <w:highlight w:val="none"/>
                <w:u w:val="none"/>
                <w:lang w:val="en-US" w:eastAsia="zh-CN" w:bidi="ar"/>
              </w:rPr>
              <w:t>收入支出决算总表</w:t>
            </w:r>
          </w:p>
        </w:tc>
      </w:tr>
      <w:tr>
        <w:tblPrEx>
          <w:tblCellMar>
            <w:top w:w="0" w:type="dxa"/>
            <w:left w:w="108" w:type="dxa"/>
            <w:bottom w:w="0" w:type="dxa"/>
            <w:right w:w="108" w:type="dxa"/>
          </w:tblCellMar>
        </w:tblPrEx>
        <w:trPr>
          <w:trHeight w:val="255" w:hRule="atLeast"/>
        </w:trPr>
        <w:tc>
          <w:tcPr>
            <w:tcW w:w="4620" w:type="dxa"/>
            <w:tcBorders>
              <w:top w:val="nil"/>
              <w:left w:val="nil"/>
              <w:bottom w:val="nil"/>
              <w:right w:val="nil"/>
            </w:tcBorders>
            <w:noWrap w:val="0"/>
            <w:vAlign w:val="bottom"/>
          </w:tcPr>
          <w:p>
            <w:pPr>
              <w:rPr>
                <w:rFonts w:hint="default" w:ascii="Arial" w:hAnsi="Arial" w:cs="Arial"/>
                <w:i w:val="0"/>
                <w:iCs w:val="0"/>
                <w:color w:val="000000"/>
                <w:sz w:val="20"/>
                <w:szCs w:val="20"/>
                <w:highlight w:val="none"/>
                <w:u w:val="none"/>
              </w:rPr>
            </w:pPr>
          </w:p>
        </w:tc>
        <w:tc>
          <w:tcPr>
            <w:tcW w:w="811" w:type="dxa"/>
            <w:tcBorders>
              <w:top w:val="nil"/>
              <w:left w:val="nil"/>
              <w:bottom w:val="nil"/>
              <w:right w:val="nil"/>
            </w:tcBorders>
            <w:noWrap w:val="0"/>
            <w:vAlign w:val="bottom"/>
          </w:tcPr>
          <w:p>
            <w:pPr>
              <w:rPr>
                <w:rFonts w:hint="default" w:ascii="Arial" w:hAnsi="Arial" w:cs="Arial"/>
                <w:i w:val="0"/>
                <w:iCs w:val="0"/>
                <w:color w:val="000000"/>
                <w:sz w:val="20"/>
                <w:szCs w:val="20"/>
                <w:highlight w:val="none"/>
                <w:u w:val="none"/>
              </w:rPr>
            </w:pPr>
          </w:p>
        </w:tc>
        <w:tc>
          <w:tcPr>
            <w:tcW w:w="1491" w:type="dxa"/>
            <w:tcBorders>
              <w:top w:val="nil"/>
              <w:left w:val="nil"/>
              <w:bottom w:val="nil"/>
              <w:right w:val="nil"/>
            </w:tcBorders>
            <w:noWrap w:val="0"/>
            <w:vAlign w:val="bottom"/>
          </w:tcPr>
          <w:p>
            <w:pPr>
              <w:rPr>
                <w:rFonts w:hint="default" w:ascii="Arial" w:hAnsi="Arial" w:cs="Arial"/>
                <w:i w:val="0"/>
                <w:iCs w:val="0"/>
                <w:color w:val="000000"/>
                <w:sz w:val="20"/>
                <w:szCs w:val="20"/>
                <w:highlight w:val="none"/>
                <w:u w:val="none"/>
              </w:rPr>
            </w:pPr>
          </w:p>
        </w:tc>
        <w:tc>
          <w:tcPr>
            <w:tcW w:w="4348" w:type="dxa"/>
            <w:tcBorders>
              <w:top w:val="nil"/>
              <w:left w:val="nil"/>
              <w:bottom w:val="nil"/>
              <w:right w:val="nil"/>
            </w:tcBorders>
            <w:noWrap w:val="0"/>
            <w:vAlign w:val="bottom"/>
          </w:tcPr>
          <w:p>
            <w:pPr>
              <w:rPr>
                <w:rFonts w:hint="default" w:ascii="Arial" w:hAnsi="Arial" w:cs="Arial"/>
                <w:i w:val="0"/>
                <w:iCs w:val="0"/>
                <w:color w:val="000000"/>
                <w:sz w:val="20"/>
                <w:szCs w:val="20"/>
                <w:highlight w:val="none"/>
                <w:u w:val="none"/>
              </w:rPr>
            </w:pPr>
          </w:p>
        </w:tc>
        <w:tc>
          <w:tcPr>
            <w:tcW w:w="811" w:type="dxa"/>
            <w:tcBorders>
              <w:top w:val="nil"/>
              <w:left w:val="nil"/>
              <w:bottom w:val="nil"/>
              <w:right w:val="nil"/>
            </w:tcBorders>
            <w:noWrap w:val="0"/>
            <w:vAlign w:val="bottom"/>
          </w:tcPr>
          <w:p>
            <w:pPr>
              <w:rPr>
                <w:rFonts w:hint="default" w:ascii="Arial" w:hAnsi="Arial" w:cs="Arial"/>
                <w:i w:val="0"/>
                <w:iCs w:val="0"/>
                <w:color w:val="000000"/>
                <w:sz w:val="20"/>
                <w:szCs w:val="20"/>
                <w:highlight w:val="none"/>
                <w:u w:val="none"/>
              </w:rPr>
            </w:pPr>
          </w:p>
        </w:tc>
        <w:tc>
          <w:tcPr>
            <w:tcW w:w="2000" w:type="dxa"/>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公开01表</w:t>
            </w:r>
          </w:p>
        </w:tc>
      </w:tr>
      <w:tr>
        <w:tblPrEx>
          <w:tblCellMar>
            <w:top w:w="0" w:type="dxa"/>
            <w:left w:w="108" w:type="dxa"/>
            <w:bottom w:w="0" w:type="dxa"/>
            <w:right w:w="108" w:type="dxa"/>
          </w:tblCellMar>
        </w:tblPrEx>
        <w:trPr>
          <w:trHeight w:val="255" w:hRule="atLeast"/>
        </w:trPr>
        <w:tc>
          <w:tcPr>
            <w:tcW w:w="4620" w:type="dxa"/>
            <w:tcBorders>
              <w:top w:val="nil"/>
              <w:left w:val="nil"/>
              <w:bottom w:val="nil"/>
              <w:right w:val="nil"/>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部门：许昌市建安区住房和城乡建设局（本级）</w:t>
            </w:r>
          </w:p>
        </w:tc>
        <w:tc>
          <w:tcPr>
            <w:tcW w:w="811" w:type="dxa"/>
            <w:tcBorders>
              <w:top w:val="nil"/>
              <w:left w:val="nil"/>
              <w:bottom w:val="nil"/>
              <w:right w:val="nil"/>
            </w:tcBorders>
            <w:noWrap w:val="0"/>
            <w:vAlign w:val="bottom"/>
          </w:tcPr>
          <w:p>
            <w:pPr>
              <w:rPr>
                <w:rFonts w:hint="default" w:ascii="Arial" w:hAnsi="Arial" w:cs="Arial"/>
                <w:i w:val="0"/>
                <w:iCs w:val="0"/>
                <w:color w:val="000000"/>
                <w:sz w:val="20"/>
                <w:szCs w:val="20"/>
                <w:highlight w:val="none"/>
                <w:u w:val="none"/>
              </w:rPr>
            </w:pPr>
          </w:p>
        </w:tc>
        <w:tc>
          <w:tcPr>
            <w:tcW w:w="1491" w:type="dxa"/>
            <w:tcBorders>
              <w:top w:val="nil"/>
              <w:left w:val="nil"/>
              <w:bottom w:val="nil"/>
              <w:right w:val="nil"/>
            </w:tcBorders>
            <w:noWrap w:val="0"/>
            <w:vAlign w:val="bottom"/>
          </w:tcPr>
          <w:p>
            <w:pPr>
              <w:rPr>
                <w:rFonts w:hint="default" w:ascii="Arial" w:hAnsi="Arial" w:cs="Arial"/>
                <w:i w:val="0"/>
                <w:iCs w:val="0"/>
                <w:color w:val="000000"/>
                <w:sz w:val="20"/>
                <w:szCs w:val="20"/>
                <w:highlight w:val="none"/>
                <w:u w:val="none"/>
              </w:rPr>
            </w:pPr>
          </w:p>
        </w:tc>
        <w:tc>
          <w:tcPr>
            <w:tcW w:w="4348" w:type="dxa"/>
            <w:tcBorders>
              <w:top w:val="nil"/>
              <w:left w:val="nil"/>
              <w:bottom w:val="nil"/>
              <w:right w:val="nil"/>
            </w:tcBorders>
            <w:noWrap w:val="0"/>
            <w:vAlign w:val="bottom"/>
          </w:tcPr>
          <w:p>
            <w:pPr>
              <w:rPr>
                <w:rFonts w:hint="default" w:ascii="Arial" w:hAnsi="Arial" w:cs="Arial"/>
                <w:i w:val="0"/>
                <w:iCs w:val="0"/>
                <w:color w:val="000000"/>
                <w:sz w:val="20"/>
                <w:szCs w:val="20"/>
                <w:highlight w:val="none"/>
                <w:u w:val="none"/>
              </w:rPr>
            </w:pPr>
          </w:p>
        </w:tc>
        <w:tc>
          <w:tcPr>
            <w:tcW w:w="811" w:type="dxa"/>
            <w:tcBorders>
              <w:top w:val="nil"/>
              <w:left w:val="nil"/>
              <w:bottom w:val="nil"/>
              <w:right w:val="nil"/>
            </w:tcBorders>
            <w:noWrap w:val="0"/>
            <w:vAlign w:val="bottom"/>
          </w:tcPr>
          <w:p>
            <w:pPr>
              <w:rPr>
                <w:rFonts w:hint="default" w:ascii="Arial" w:hAnsi="Arial" w:cs="Arial"/>
                <w:i w:val="0"/>
                <w:iCs w:val="0"/>
                <w:color w:val="000000"/>
                <w:sz w:val="20"/>
                <w:szCs w:val="20"/>
                <w:highlight w:val="none"/>
                <w:u w:val="none"/>
              </w:rPr>
            </w:pPr>
          </w:p>
        </w:tc>
        <w:tc>
          <w:tcPr>
            <w:tcW w:w="2000" w:type="dxa"/>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金额单位：万元</w:t>
            </w:r>
          </w:p>
        </w:tc>
      </w:tr>
      <w:tr>
        <w:tblPrEx>
          <w:tblCellMar>
            <w:top w:w="0" w:type="dxa"/>
            <w:left w:w="108" w:type="dxa"/>
            <w:bottom w:w="0" w:type="dxa"/>
            <w:right w:w="108" w:type="dxa"/>
          </w:tblCellMar>
        </w:tblPrEx>
        <w:trPr>
          <w:trHeight w:val="308" w:hRule="atLeast"/>
        </w:trPr>
        <w:tc>
          <w:tcPr>
            <w:tcW w:w="6922"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收入</w:t>
            </w:r>
          </w:p>
        </w:tc>
        <w:tc>
          <w:tcPr>
            <w:tcW w:w="7159" w:type="dxa"/>
            <w:gridSpan w:val="3"/>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支出</w:t>
            </w:r>
          </w:p>
        </w:tc>
      </w:tr>
      <w:tr>
        <w:tblPrEx>
          <w:tblCellMar>
            <w:top w:w="0" w:type="dxa"/>
            <w:left w:w="108" w:type="dxa"/>
            <w:bottom w:w="0" w:type="dxa"/>
            <w:right w:w="108" w:type="dxa"/>
          </w:tblCellMar>
        </w:tblPrEx>
        <w:trPr>
          <w:trHeight w:val="308" w:hRule="atLeast"/>
        </w:trPr>
        <w:tc>
          <w:tcPr>
            <w:tcW w:w="4620"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81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行次</w:t>
            </w:r>
          </w:p>
        </w:tc>
        <w:tc>
          <w:tcPr>
            <w:tcW w:w="149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金额</w:t>
            </w:r>
          </w:p>
        </w:tc>
        <w:tc>
          <w:tcPr>
            <w:tcW w:w="4348"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81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行次</w:t>
            </w:r>
          </w:p>
        </w:tc>
        <w:tc>
          <w:tcPr>
            <w:tcW w:w="200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金额</w:t>
            </w:r>
          </w:p>
        </w:tc>
      </w:tr>
      <w:tr>
        <w:trPr>
          <w:trHeight w:val="308" w:hRule="atLeast"/>
        </w:trPr>
        <w:tc>
          <w:tcPr>
            <w:tcW w:w="4620"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811" w:type="dxa"/>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highlight w:val="none"/>
                <w:u w:val="none"/>
              </w:rPr>
            </w:pPr>
          </w:p>
        </w:tc>
        <w:tc>
          <w:tcPr>
            <w:tcW w:w="149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348"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811" w:type="dxa"/>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highlight w:val="none"/>
                <w:u w:val="none"/>
              </w:rPr>
            </w:pPr>
          </w:p>
        </w:tc>
        <w:tc>
          <w:tcPr>
            <w:tcW w:w="200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r>
      <w:tr>
        <w:tblPrEx>
          <w:tblCellMar>
            <w:top w:w="0" w:type="dxa"/>
            <w:left w:w="108" w:type="dxa"/>
            <w:bottom w:w="0" w:type="dxa"/>
            <w:right w:w="108" w:type="dxa"/>
          </w:tblCellMar>
        </w:tblPrEx>
        <w:trPr>
          <w:trHeight w:val="308" w:hRule="atLeast"/>
        </w:trPr>
        <w:tc>
          <w:tcPr>
            <w:tcW w:w="4620"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一、一般公共预算财政拨款收入</w:t>
            </w:r>
          </w:p>
        </w:tc>
        <w:tc>
          <w:tcPr>
            <w:tcW w:w="81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49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42277.86</w:t>
            </w:r>
          </w:p>
        </w:tc>
        <w:tc>
          <w:tcPr>
            <w:tcW w:w="4348"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一、一般公共服务支出</w:t>
            </w:r>
          </w:p>
        </w:tc>
        <w:tc>
          <w:tcPr>
            <w:tcW w:w="81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w:t>
            </w:r>
          </w:p>
        </w:tc>
        <w:tc>
          <w:tcPr>
            <w:tcW w:w="200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36.12</w:t>
            </w:r>
          </w:p>
        </w:tc>
      </w:tr>
      <w:tr>
        <w:tblPrEx>
          <w:tblCellMar>
            <w:top w:w="0" w:type="dxa"/>
            <w:left w:w="108" w:type="dxa"/>
            <w:bottom w:w="0" w:type="dxa"/>
            <w:right w:w="108" w:type="dxa"/>
          </w:tblCellMar>
        </w:tblPrEx>
        <w:trPr>
          <w:trHeight w:val="308" w:hRule="atLeast"/>
        </w:trPr>
        <w:tc>
          <w:tcPr>
            <w:tcW w:w="4620"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二、政府性基金预算财政拨款收入</w:t>
            </w:r>
          </w:p>
        </w:tc>
        <w:tc>
          <w:tcPr>
            <w:tcW w:w="81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149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39156.95</w:t>
            </w:r>
          </w:p>
        </w:tc>
        <w:tc>
          <w:tcPr>
            <w:tcW w:w="4348"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二、外交支出</w:t>
            </w:r>
          </w:p>
        </w:tc>
        <w:tc>
          <w:tcPr>
            <w:tcW w:w="81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w:t>
            </w:r>
          </w:p>
        </w:tc>
        <w:tc>
          <w:tcPr>
            <w:tcW w:w="200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08" w:hRule="atLeast"/>
        </w:trPr>
        <w:tc>
          <w:tcPr>
            <w:tcW w:w="4620"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三、国有资本经营预算财政拨款收入</w:t>
            </w:r>
          </w:p>
        </w:tc>
        <w:tc>
          <w:tcPr>
            <w:tcW w:w="81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149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4348"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三、国防支出</w:t>
            </w:r>
          </w:p>
        </w:tc>
        <w:tc>
          <w:tcPr>
            <w:tcW w:w="81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w:t>
            </w:r>
          </w:p>
        </w:tc>
        <w:tc>
          <w:tcPr>
            <w:tcW w:w="200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08" w:hRule="atLeast"/>
        </w:trPr>
        <w:tc>
          <w:tcPr>
            <w:tcW w:w="4620"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四、上级补助收入</w:t>
            </w:r>
          </w:p>
        </w:tc>
        <w:tc>
          <w:tcPr>
            <w:tcW w:w="81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49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4348"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四、公共安全支出</w:t>
            </w:r>
          </w:p>
        </w:tc>
        <w:tc>
          <w:tcPr>
            <w:tcW w:w="81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w:t>
            </w:r>
          </w:p>
        </w:tc>
        <w:tc>
          <w:tcPr>
            <w:tcW w:w="200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08" w:hRule="atLeast"/>
        </w:trPr>
        <w:tc>
          <w:tcPr>
            <w:tcW w:w="4620"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五、事业收入</w:t>
            </w:r>
          </w:p>
        </w:tc>
        <w:tc>
          <w:tcPr>
            <w:tcW w:w="81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49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4348"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五、教育支出</w:t>
            </w:r>
          </w:p>
        </w:tc>
        <w:tc>
          <w:tcPr>
            <w:tcW w:w="81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w:t>
            </w:r>
          </w:p>
        </w:tc>
        <w:tc>
          <w:tcPr>
            <w:tcW w:w="200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08" w:hRule="atLeast"/>
        </w:trPr>
        <w:tc>
          <w:tcPr>
            <w:tcW w:w="4620"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六、经营收入</w:t>
            </w:r>
          </w:p>
        </w:tc>
        <w:tc>
          <w:tcPr>
            <w:tcW w:w="81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149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4348"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六、科学技术支出</w:t>
            </w:r>
          </w:p>
        </w:tc>
        <w:tc>
          <w:tcPr>
            <w:tcW w:w="81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w:t>
            </w:r>
          </w:p>
        </w:tc>
        <w:tc>
          <w:tcPr>
            <w:tcW w:w="200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08" w:hRule="atLeast"/>
        </w:trPr>
        <w:tc>
          <w:tcPr>
            <w:tcW w:w="4620"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七、附属单位上缴收入</w:t>
            </w:r>
          </w:p>
        </w:tc>
        <w:tc>
          <w:tcPr>
            <w:tcW w:w="81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149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4348"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七、文化旅游体育与传媒支出</w:t>
            </w:r>
          </w:p>
        </w:tc>
        <w:tc>
          <w:tcPr>
            <w:tcW w:w="81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38</w:t>
            </w:r>
          </w:p>
        </w:tc>
        <w:tc>
          <w:tcPr>
            <w:tcW w:w="200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08" w:hRule="atLeast"/>
        </w:trPr>
        <w:tc>
          <w:tcPr>
            <w:tcW w:w="4620"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八、其他收入</w:t>
            </w:r>
          </w:p>
        </w:tc>
        <w:tc>
          <w:tcPr>
            <w:tcW w:w="81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149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4348"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八、社会保障和就业支出</w:t>
            </w:r>
          </w:p>
        </w:tc>
        <w:tc>
          <w:tcPr>
            <w:tcW w:w="81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w:t>
            </w:r>
          </w:p>
        </w:tc>
        <w:tc>
          <w:tcPr>
            <w:tcW w:w="200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42.91</w:t>
            </w:r>
          </w:p>
        </w:tc>
      </w:tr>
      <w:tr>
        <w:tblPrEx>
          <w:tblCellMar>
            <w:top w:w="0" w:type="dxa"/>
            <w:left w:w="108" w:type="dxa"/>
            <w:bottom w:w="0" w:type="dxa"/>
            <w:right w:w="108" w:type="dxa"/>
          </w:tblCellMar>
        </w:tblPrEx>
        <w:trPr>
          <w:trHeight w:val="308" w:hRule="atLeast"/>
        </w:trPr>
        <w:tc>
          <w:tcPr>
            <w:tcW w:w="4620" w:type="dxa"/>
            <w:tcBorders>
              <w:top w:val="nil"/>
              <w:left w:val="single" w:color="000000" w:sz="4" w:space="0"/>
              <w:bottom w:val="single" w:color="000000" w:sz="4" w:space="0"/>
              <w:right w:val="single" w:color="000000" w:sz="4" w:space="0"/>
            </w:tcBorders>
            <w:shd w:val="clear" w:color="auto" w:fill="FFFFFF"/>
            <w:noWrap w:val="0"/>
            <w:vAlign w:val="center"/>
          </w:tcPr>
          <w:p>
            <w:pPr>
              <w:jc w:val="left"/>
              <w:rPr>
                <w:rFonts w:hint="eastAsia" w:ascii="宋体" w:hAnsi="宋体" w:eastAsia="宋体" w:cs="宋体"/>
                <w:i w:val="0"/>
                <w:iCs w:val="0"/>
                <w:color w:val="000000"/>
                <w:sz w:val="22"/>
                <w:szCs w:val="22"/>
                <w:highlight w:val="none"/>
                <w:u w:val="none"/>
              </w:rPr>
            </w:pPr>
          </w:p>
        </w:tc>
        <w:tc>
          <w:tcPr>
            <w:tcW w:w="81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1491"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highlight w:val="none"/>
                <w:u w:val="none"/>
              </w:rPr>
            </w:pPr>
          </w:p>
        </w:tc>
        <w:tc>
          <w:tcPr>
            <w:tcW w:w="4348"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九、卫生健康支出</w:t>
            </w:r>
          </w:p>
        </w:tc>
        <w:tc>
          <w:tcPr>
            <w:tcW w:w="81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200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08" w:hRule="atLeast"/>
        </w:trPr>
        <w:tc>
          <w:tcPr>
            <w:tcW w:w="4620" w:type="dxa"/>
            <w:tcBorders>
              <w:top w:val="nil"/>
              <w:left w:val="single" w:color="000000" w:sz="4" w:space="0"/>
              <w:bottom w:val="single" w:color="000000" w:sz="4" w:space="0"/>
              <w:right w:val="single" w:color="000000" w:sz="4" w:space="0"/>
            </w:tcBorders>
            <w:shd w:val="clear" w:color="auto" w:fill="FFFFFF"/>
            <w:noWrap w:val="0"/>
            <w:vAlign w:val="center"/>
          </w:tcPr>
          <w:p>
            <w:pPr>
              <w:jc w:val="left"/>
              <w:rPr>
                <w:rFonts w:hint="eastAsia" w:ascii="宋体" w:hAnsi="宋体" w:eastAsia="宋体" w:cs="宋体"/>
                <w:i w:val="0"/>
                <w:iCs w:val="0"/>
                <w:color w:val="000000"/>
                <w:sz w:val="22"/>
                <w:szCs w:val="22"/>
                <w:highlight w:val="none"/>
                <w:u w:val="none"/>
              </w:rPr>
            </w:pPr>
          </w:p>
        </w:tc>
        <w:tc>
          <w:tcPr>
            <w:tcW w:w="81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491"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highlight w:val="none"/>
                <w:u w:val="none"/>
              </w:rPr>
            </w:pPr>
          </w:p>
        </w:tc>
        <w:tc>
          <w:tcPr>
            <w:tcW w:w="4348"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十、节能环保支出</w:t>
            </w:r>
          </w:p>
        </w:tc>
        <w:tc>
          <w:tcPr>
            <w:tcW w:w="81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w:t>
            </w:r>
          </w:p>
        </w:tc>
        <w:tc>
          <w:tcPr>
            <w:tcW w:w="200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08" w:hRule="atLeast"/>
        </w:trPr>
        <w:tc>
          <w:tcPr>
            <w:tcW w:w="4620" w:type="dxa"/>
            <w:tcBorders>
              <w:top w:val="nil"/>
              <w:left w:val="single" w:color="000000" w:sz="4" w:space="0"/>
              <w:bottom w:val="single" w:color="000000" w:sz="4" w:space="0"/>
              <w:right w:val="single" w:color="000000" w:sz="4" w:space="0"/>
            </w:tcBorders>
            <w:shd w:val="clear" w:color="auto" w:fill="FFFFFF"/>
            <w:noWrap w:val="0"/>
            <w:vAlign w:val="center"/>
          </w:tcPr>
          <w:p>
            <w:pPr>
              <w:jc w:val="left"/>
              <w:rPr>
                <w:rFonts w:hint="eastAsia" w:ascii="宋体" w:hAnsi="宋体" w:eastAsia="宋体" w:cs="宋体"/>
                <w:i w:val="0"/>
                <w:iCs w:val="0"/>
                <w:color w:val="000000"/>
                <w:sz w:val="22"/>
                <w:szCs w:val="22"/>
                <w:highlight w:val="none"/>
                <w:u w:val="none"/>
              </w:rPr>
            </w:pPr>
          </w:p>
        </w:tc>
        <w:tc>
          <w:tcPr>
            <w:tcW w:w="81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1491"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highlight w:val="none"/>
                <w:u w:val="none"/>
              </w:rPr>
            </w:pPr>
          </w:p>
        </w:tc>
        <w:tc>
          <w:tcPr>
            <w:tcW w:w="4348"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十一、城乡社区支出</w:t>
            </w:r>
          </w:p>
        </w:tc>
        <w:tc>
          <w:tcPr>
            <w:tcW w:w="81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w:t>
            </w:r>
          </w:p>
        </w:tc>
        <w:tc>
          <w:tcPr>
            <w:tcW w:w="200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81153.4</w:t>
            </w:r>
          </w:p>
        </w:tc>
      </w:tr>
      <w:tr>
        <w:tblPrEx>
          <w:tblCellMar>
            <w:top w:w="0" w:type="dxa"/>
            <w:left w:w="108" w:type="dxa"/>
            <w:bottom w:w="0" w:type="dxa"/>
            <w:right w:w="108" w:type="dxa"/>
          </w:tblCellMar>
        </w:tblPrEx>
        <w:trPr>
          <w:trHeight w:val="308" w:hRule="atLeast"/>
        </w:trPr>
        <w:tc>
          <w:tcPr>
            <w:tcW w:w="4620" w:type="dxa"/>
            <w:tcBorders>
              <w:top w:val="nil"/>
              <w:left w:val="single" w:color="000000" w:sz="4" w:space="0"/>
              <w:bottom w:val="single" w:color="000000" w:sz="4" w:space="0"/>
              <w:right w:val="single" w:color="000000" w:sz="4" w:space="0"/>
            </w:tcBorders>
            <w:shd w:val="clear" w:color="auto" w:fill="FFFFFF"/>
            <w:noWrap w:val="0"/>
            <w:vAlign w:val="center"/>
          </w:tcPr>
          <w:p>
            <w:pPr>
              <w:jc w:val="left"/>
              <w:rPr>
                <w:rFonts w:hint="eastAsia" w:ascii="宋体" w:hAnsi="宋体" w:eastAsia="宋体" w:cs="宋体"/>
                <w:i w:val="0"/>
                <w:iCs w:val="0"/>
                <w:color w:val="000000"/>
                <w:sz w:val="22"/>
                <w:szCs w:val="22"/>
                <w:highlight w:val="none"/>
                <w:u w:val="none"/>
              </w:rPr>
            </w:pPr>
          </w:p>
        </w:tc>
        <w:tc>
          <w:tcPr>
            <w:tcW w:w="81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1491"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highlight w:val="none"/>
                <w:u w:val="none"/>
              </w:rPr>
            </w:pPr>
          </w:p>
        </w:tc>
        <w:tc>
          <w:tcPr>
            <w:tcW w:w="4348"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十二、农林水支出</w:t>
            </w:r>
          </w:p>
        </w:tc>
        <w:tc>
          <w:tcPr>
            <w:tcW w:w="81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43</w:t>
            </w:r>
          </w:p>
        </w:tc>
        <w:tc>
          <w:tcPr>
            <w:tcW w:w="200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08" w:hRule="atLeast"/>
        </w:trPr>
        <w:tc>
          <w:tcPr>
            <w:tcW w:w="4620" w:type="dxa"/>
            <w:tcBorders>
              <w:top w:val="nil"/>
              <w:left w:val="single" w:color="000000" w:sz="4" w:space="0"/>
              <w:bottom w:val="single" w:color="000000" w:sz="4" w:space="0"/>
              <w:right w:val="single" w:color="000000" w:sz="4" w:space="0"/>
            </w:tcBorders>
            <w:shd w:val="clear" w:color="auto" w:fill="FFFFFF"/>
            <w:noWrap w:val="0"/>
            <w:vAlign w:val="center"/>
          </w:tcPr>
          <w:p>
            <w:pPr>
              <w:jc w:val="left"/>
              <w:rPr>
                <w:rFonts w:hint="eastAsia" w:ascii="宋体" w:hAnsi="宋体" w:eastAsia="宋体" w:cs="宋体"/>
                <w:i w:val="0"/>
                <w:iCs w:val="0"/>
                <w:color w:val="000000"/>
                <w:sz w:val="22"/>
                <w:szCs w:val="22"/>
                <w:highlight w:val="none"/>
                <w:u w:val="none"/>
              </w:rPr>
            </w:pPr>
          </w:p>
        </w:tc>
        <w:tc>
          <w:tcPr>
            <w:tcW w:w="81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1491"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highlight w:val="none"/>
                <w:u w:val="none"/>
              </w:rPr>
            </w:pPr>
          </w:p>
        </w:tc>
        <w:tc>
          <w:tcPr>
            <w:tcW w:w="4348"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十三、交通运输支出</w:t>
            </w:r>
          </w:p>
        </w:tc>
        <w:tc>
          <w:tcPr>
            <w:tcW w:w="81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w:t>
            </w:r>
          </w:p>
        </w:tc>
        <w:tc>
          <w:tcPr>
            <w:tcW w:w="200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08" w:hRule="atLeast"/>
        </w:trPr>
        <w:tc>
          <w:tcPr>
            <w:tcW w:w="4620" w:type="dxa"/>
            <w:tcBorders>
              <w:top w:val="nil"/>
              <w:left w:val="single" w:color="000000" w:sz="4" w:space="0"/>
              <w:bottom w:val="single" w:color="000000" w:sz="4" w:space="0"/>
              <w:right w:val="single" w:color="000000" w:sz="4" w:space="0"/>
            </w:tcBorders>
            <w:shd w:val="clear" w:color="auto" w:fill="FFFFFF"/>
            <w:noWrap w:val="0"/>
            <w:vAlign w:val="center"/>
          </w:tcPr>
          <w:p>
            <w:pPr>
              <w:jc w:val="left"/>
              <w:rPr>
                <w:rFonts w:hint="eastAsia" w:ascii="宋体" w:hAnsi="宋体" w:eastAsia="宋体" w:cs="宋体"/>
                <w:i w:val="0"/>
                <w:iCs w:val="0"/>
                <w:color w:val="000000"/>
                <w:sz w:val="22"/>
                <w:szCs w:val="22"/>
                <w:highlight w:val="none"/>
                <w:u w:val="none"/>
              </w:rPr>
            </w:pPr>
          </w:p>
        </w:tc>
        <w:tc>
          <w:tcPr>
            <w:tcW w:w="81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w:t>
            </w:r>
          </w:p>
        </w:tc>
        <w:tc>
          <w:tcPr>
            <w:tcW w:w="1491"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highlight w:val="none"/>
                <w:u w:val="none"/>
              </w:rPr>
            </w:pPr>
          </w:p>
        </w:tc>
        <w:tc>
          <w:tcPr>
            <w:tcW w:w="4348"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十四、资源勘探工业信息等支出</w:t>
            </w:r>
          </w:p>
        </w:tc>
        <w:tc>
          <w:tcPr>
            <w:tcW w:w="81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w:t>
            </w:r>
          </w:p>
        </w:tc>
        <w:tc>
          <w:tcPr>
            <w:tcW w:w="200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08" w:hRule="atLeast"/>
        </w:trPr>
        <w:tc>
          <w:tcPr>
            <w:tcW w:w="4620" w:type="dxa"/>
            <w:tcBorders>
              <w:top w:val="nil"/>
              <w:left w:val="single" w:color="000000" w:sz="4" w:space="0"/>
              <w:bottom w:val="single" w:color="000000" w:sz="4" w:space="0"/>
              <w:right w:val="single" w:color="000000" w:sz="4" w:space="0"/>
            </w:tcBorders>
            <w:shd w:val="clear" w:color="auto" w:fill="FFFFFF"/>
            <w:noWrap w:val="0"/>
            <w:vAlign w:val="center"/>
          </w:tcPr>
          <w:p>
            <w:pPr>
              <w:jc w:val="left"/>
              <w:rPr>
                <w:rFonts w:hint="eastAsia" w:ascii="宋体" w:hAnsi="宋体" w:eastAsia="宋体" w:cs="宋体"/>
                <w:i w:val="0"/>
                <w:iCs w:val="0"/>
                <w:color w:val="000000"/>
                <w:sz w:val="22"/>
                <w:szCs w:val="22"/>
                <w:highlight w:val="none"/>
                <w:u w:val="none"/>
              </w:rPr>
            </w:pPr>
          </w:p>
        </w:tc>
        <w:tc>
          <w:tcPr>
            <w:tcW w:w="81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1491"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highlight w:val="none"/>
                <w:u w:val="none"/>
              </w:rPr>
            </w:pPr>
          </w:p>
        </w:tc>
        <w:tc>
          <w:tcPr>
            <w:tcW w:w="4348"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十五、商业服务业等支出</w:t>
            </w:r>
          </w:p>
        </w:tc>
        <w:tc>
          <w:tcPr>
            <w:tcW w:w="81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w:t>
            </w:r>
          </w:p>
        </w:tc>
        <w:tc>
          <w:tcPr>
            <w:tcW w:w="200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08" w:hRule="atLeast"/>
        </w:trPr>
        <w:tc>
          <w:tcPr>
            <w:tcW w:w="4620" w:type="dxa"/>
            <w:tcBorders>
              <w:top w:val="nil"/>
              <w:left w:val="single" w:color="000000" w:sz="4" w:space="0"/>
              <w:bottom w:val="single" w:color="000000" w:sz="4" w:space="0"/>
              <w:right w:val="single" w:color="000000" w:sz="4" w:space="0"/>
            </w:tcBorders>
            <w:shd w:val="clear" w:color="auto" w:fill="FFFFFF"/>
            <w:noWrap w:val="0"/>
            <w:vAlign w:val="center"/>
          </w:tcPr>
          <w:p>
            <w:pPr>
              <w:jc w:val="left"/>
              <w:rPr>
                <w:rFonts w:hint="eastAsia" w:ascii="宋体" w:hAnsi="宋体" w:eastAsia="宋体" w:cs="宋体"/>
                <w:i w:val="0"/>
                <w:iCs w:val="0"/>
                <w:color w:val="000000"/>
                <w:sz w:val="22"/>
                <w:szCs w:val="22"/>
                <w:highlight w:val="none"/>
                <w:u w:val="none"/>
              </w:rPr>
            </w:pPr>
          </w:p>
        </w:tc>
        <w:tc>
          <w:tcPr>
            <w:tcW w:w="81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w:t>
            </w:r>
          </w:p>
        </w:tc>
        <w:tc>
          <w:tcPr>
            <w:tcW w:w="1491"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highlight w:val="none"/>
                <w:u w:val="none"/>
              </w:rPr>
            </w:pPr>
          </w:p>
        </w:tc>
        <w:tc>
          <w:tcPr>
            <w:tcW w:w="4348"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十六、金融支出</w:t>
            </w:r>
          </w:p>
        </w:tc>
        <w:tc>
          <w:tcPr>
            <w:tcW w:w="81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w:t>
            </w:r>
          </w:p>
        </w:tc>
        <w:tc>
          <w:tcPr>
            <w:tcW w:w="200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08" w:hRule="atLeast"/>
        </w:trPr>
        <w:tc>
          <w:tcPr>
            <w:tcW w:w="4620" w:type="dxa"/>
            <w:tcBorders>
              <w:top w:val="nil"/>
              <w:left w:val="single" w:color="000000" w:sz="4" w:space="0"/>
              <w:bottom w:val="single" w:color="000000" w:sz="4" w:space="0"/>
              <w:right w:val="single" w:color="000000" w:sz="4" w:space="0"/>
            </w:tcBorders>
            <w:shd w:val="clear" w:color="auto" w:fill="FFFFFF"/>
            <w:noWrap w:val="0"/>
            <w:vAlign w:val="center"/>
          </w:tcPr>
          <w:p>
            <w:pPr>
              <w:jc w:val="left"/>
              <w:rPr>
                <w:rFonts w:hint="eastAsia" w:ascii="宋体" w:hAnsi="宋体" w:eastAsia="宋体" w:cs="宋体"/>
                <w:i w:val="0"/>
                <w:iCs w:val="0"/>
                <w:color w:val="000000"/>
                <w:sz w:val="22"/>
                <w:szCs w:val="22"/>
                <w:highlight w:val="none"/>
                <w:u w:val="none"/>
              </w:rPr>
            </w:pPr>
          </w:p>
        </w:tc>
        <w:tc>
          <w:tcPr>
            <w:tcW w:w="81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w:t>
            </w:r>
          </w:p>
        </w:tc>
        <w:tc>
          <w:tcPr>
            <w:tcW w:w="1491"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highlight w:val="none"/>
                <w:u w:val="none"/>
              </w:rPr>
            </w:pPr>
          </w:p>
        </w:tc>
        <w:tc>
          <w:tcPr>
            <w:tcW w:w="4348"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十七、援助其他地区支出</w:t>
            </w:r>
          </w:p>
        </w:tc>
        <w:tc>
          <w:tcPr>
            <w:tcW w:w="81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w:t>
            </w:r>
          </w:p>
        </w:tc>
        <w:tc>
          <w:tcPr>
            <w:tcW w:w="200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08" w:hRule="atLeast"/>
        </w:trPr>
        <w:tc>
          <w:tcPr>
            <w:tcW w:w="4620" w:type="dxa"/>
            <w:tcBorders>
              <w:top w:val="nil"/>
              <w:left w:val="single" w:color="000000" w:sz="4" w:space="0"/>
              <w:bottom w:val="single" w:color="000000" w:sz="4" w:space="0"/>
              <w:right w:val="single" w:color="000000" w:sz="4" w:space="0"/>
            </w:tcBorders>
            <w:shd w:val="clear" w:color="auto" w:fill="FFFFFF"/>
            <w:noWrap w:val="0"/>
            <w:vAlign w:val="center"/>
          </w:tcPr>
          <w:p>
            <w:pPr>
              <w:jc w:val="left"/>
              <w:rPr>
                <w:rFonts w:hint="eastAsia" w:ascii="宋体" w:hAnsi="宋体" w:eastAsia="宋体" w:cs="宋体"/>
                <w:i w:val="0"/>
                <w:iCs w:val="0"/>
                <w:color w:val="000000"/>
                <w:sz w:val="22"/>
                <w:szCs w:val="22"/>
                <w:highlight w:val="none"/>
                <w:u w:val="none"/>
              </w:rPr>
            </w:pPr>
          </w:p>
        </w:tc>
        <w:tc>
          <w:tcPr>
            <w:tcW w:w="81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w:t>
            </w:r>
          </w:p>
        </w:tc>
        <w:tc>
          <w:tcPr>
            <w:tcW w:w="1491"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highlight w:val="none"/>
                <w:u w:val="none"/>
              </w:rPr>
            </w:pPr>
          </w:p>
        </w:tc>
        <w:tc>
          <w:tcPr>
            <w:tcW w:w="4348"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十八、自然资源海洋气象等支出</w:t>
            </w:r>
          </w:p>
        </w:tc>
        <w:tc>
          <w:tcPr>
            <w:tcW w:w="81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w:t>
            </w:r>
          </w:p>
        </w:tc>
        <w:tc>
          <w:tcPr>
            <w:tcW w:w="200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08" w:hRule="atLeast"/>
        </w:trPr>
        <w:tc>
          <w:tcPr>
            <w:tcW w:w="4620" w:type="dxa"/>
            <w:tcBorders>
              <w:top w:val="nil"/>
              <w:left w:val="single" w:color="000000" w:sz="4" w:space="0"/>
              <w:bottom w:val="single" w:color="000000" w:sz="4" w:space="0"/>
              <w:right w:val="single" w:color="000000" w:sz="4" w:space="0"/>
            </w:tcBorders>
            <w:shd w:val="clear" w:color="auto" w:fill="FFFFFF"/>
            <w:noWrap w:val="0"/>
            <w:vAlign w:val="center"/>
          </w:tcPr>
          <w:p>
            <w:pPr>
              <w:jc w:val="left"/>
              <w:rPr>
                <w:rFonts w:hint="eastAsia" w:ascii="宋体" w:hAnsi="宋体" w:eastAsia="宋体" w:cs="宋体"/>
                <w:i w:val="0"/>
                <w:iCs w:val="0"/>
                <w:color w:val="000000"/>
                <w:sz w:val="22"/>
                <w:szCs w:val="22"/>
                <w:highlight w:val="none"/>
                <w:u w:val="none"/>
              </w:rPr>
            </w:pPr>
          </w:p>
        </w:tc>
        <w:tc>
          <w:tcPr>
            <w:tcW w:w="81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w:t>
            </w:r>
          </w:p>
        </w:tc>
        <w:tc>
          <w:tcPr>
            <w:tcW w:w="1491"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highlight w:val="none"/>
                <w:u w:val="none"/>
              </w:rPr>
            </w:pPr>
          </w:p>
        </w:tc>
        <w:tc>
          <w:tcPr>
            <w:tcW w:w="4348"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十九、住房保障支出</w:t>
            </w:r>
          </w:p>
        </w:tc>
        <w:tc>
          <w:tcPr>
            <w:tcW w:w="81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200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238.5</w:t>
            </w:r>
          </w:p>
        </w:tc>
      </w:tr>
      <w:tr>
        <w:tblPrEx>
          <w:tblCellMar>
            <w:top w:w="0" w:type="dxa"/>
            <w:left w:w="108" w:type="dxa"/>
            <w:bottom w:w="0" w:type="dxa"/>
            <w:right w:w="108" w:type="dxa"/>
          </w:tblCellMar>
        </w:tblPrEx>
        <w:trPr>
          <w:trHeight w:val="308" w:hRule="atLeast"/>
        </w:trPr>
        <w:tc>
          <w:tcPr>
            <w:tcW w:w="4620" w:type="dxa"/>
            <w:tcBorders>
              <w:top w:val="nil"/>
              <w:left w:val="single" w:color="000000" w:sz="4" w:space="0"/>
              <w:bottom w:val="single" w:color="000000" w:sz="4" w:space="0"/>
              <w:right w:val="single" w:color="000000" w:sz="4" w:space="0"/>
            </w:tcBorders>
            <w:shd w:val="clear" w:color="auto" w:fill="FFFFFF"/>
            <w:noWrap w:val="0"/>
            <w:vAlign w:val="center"/>
          </w:tcPr>
          <w:p>
            <w:pPr>
              <w:jc w:val="left"/>
              <w:rPr>
                <w:rFonts w:hint="eastAsia" w:ascii="宋体" w:hAnsi="宋体" w:eastAsia="宋体" w:cs="宋体"/>
                <w:i w:val="0"/>
                <w:iCs w:val="0"/>
                <w:color w:val="000000"/>
                <w:sz w:val="22"/>
                <w:szCs w:val="22"/>
                <w:highlight w:val="none"/>
                <w:u w:val="none"/>
              </w:rPr>
            </w:pPr>
          </w:p>
        </w:tc>
        <w:tc>
          <w:tcPr>
            <w:tcW w:w="81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491"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highlight w:val="none"/>
                <w:u w:val="none"/>
              </w:rPr>
            </w:pPr>
          </w:p>
        </w:tc>
        <w:tc>
          <w:tcPr>
            <w:tcW w:w="4348"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二十、粮油物资储备支出</w:t>
            </w:r>
          </w:p>
        </w:tc>
        <w:tc>
          <w:tcPr>
            <w:tcW w:w="81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51</w:t>
            </w:r>
          </w:p>
        </w:tc>
        <w:tc>
          <w:tcPr>
            <w:tcW w:w="200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08" w:hRule="atLeast"/>
        </w:trPr>
        <w:tc>
          <w:tcPr>
            <w:tcW w:w="4620" w:type="dxa"/>
            <w:tcBorders>
              <w:top w:val="nil"/>
              <w:left w:val="single" w:color="000000" w:sz="4" w:space="0"/>
              <w:bottom w:val="single" w:color="000000" w:sz="4" w:space="0"/>
              <w:right w:val="single" w:color="000000" w:sz="4" w:space="0"/>
            </w:tcBorders>
            <w:shd w:val="clear" w:color="auto" w:fill="FFFFFF"/>
            <w:noWrap w:val="0"/>
            <w:vAlign w:val="center"/>
          </w:tcPr>
          <w:p>
            <w:pPr>
              <w:jc w:val="left"/>
              <w:rPr>
                <w:rFonts w:hint="eastAsia" w:ascii="宋体" w:hAnsi="宋体" w:eastAsia="宋体" w:cs="宋体"/>
                <w:i w:val="0"/>
                <w:iCs w:val="0"/>
                <w:color w:val="000000"/>
                <w:sz w:val="22"/>
                <w:szCs w:val="22"/>
                <w:highlight w:val="none"/>
                <w:u w:val="none"/>
              </w:rPr>
            </w:pPr>
          </w:p>
        </w:tc>
        <w:tc>
          <w:tcPr>
            <w:tcW w:w="81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w:t>
            </w:r>
          </w:p>
        </w:tc>
        <w:tc>
          <w:tcPr>
            <w:tcW w:w="1491"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highlight w:val="none"/>
                <w:u w:val="none"/>
              </w:rPr>
            </w:pPr>
          </w:p>
        </w:tc>
        <w:tc>
          <w:tcPr>
            <w:tcW w:w="4348"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二十一、国有资本经营预算支出</w:t>
            </w:r>
          </w:p>
        </w:tc>
        <w:tc>
          <w:tcPr>
            <w:tcW w:w="81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52</w:t>
            </w:r>
          </w:p>
        </w:tc>
        <w:tc>
          <w:tcPr>
            <w:tcW w:w="200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08" w:hRule="atLeast"/>
        </w:trPr>
        <w:tc>
          <w:tcPr>
            <w:tcW w:w="4620" w:type="dxa"/>
            <w:tcBorders>
              <w:top w:val="nil"/>
              <w:left w:val="single" w:color="000000" w:sz="4" w:space="0"/>
              <w:bottom w:val="single" w:color="000000" w:sz="4" w:space="0"/>
              <w:right w:val="single" w:color="000000" w:sz="4" w:space="0"/>
            </w:tcBorders>
            <w:shd w:val="clear" w:color="auto" w:fill="FFFFFF"/>
            <w:noWrap w:val="0"/>
            <w:vAlign w:val="center"/>
          </w:tcPr>
          <w:p>
            <w:pPr>
              <w:jc w:val="left"/>
              <w:rPr>
                <w:rFonts w:hint="eastAsia" w:ascii="宋体" w:hAnsi="宋体" w:eastAsia="宋体" w:cs="宋体"/>
                <w:i w:val="0"/>
                <w:iCs w:val="0"/>
                <w:color w:val="000000"/>
                <w:sz w:val="22"/>
                <w:szCs w:val="22"/>
                <w:highlight w:val="none"/>
                <w:u w:val="none"/>
              </w:rPr>
            </w:pPr>
          </w:p>
        </w:tc>
        <w:tc>
          <w:tcPr>
            <w:tcW w:w="81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w:t>
            </w:r>
          </w:p>
        </w:tc>
        <w:tc>
          <w:tcPr>
            <w:tcW w:w="1491"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highlight w:val="none"/>
                <w:u w:val="none"/>
              </w:rPr>
            </w:pPr>
          </w:p>
        </w:tc>
        <w:tc>
          <w:tcPr>
            <w:tcW w:w="4348"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二十二、灾害防治及应急管理支出</w:t>
            </w:r>
          </w:p>
        </w:tc>
        <w:tc>
          <w:tcPr>
            <w:tcW w:w="81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53</w:t>
            </w:r>
          </w:p>
        </w:tc>
        <w:tc>
          <w:tcPr>
            <w:tcW w:w="200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08" w:hRule="atLeast"/>
        </w:trPr>
        <w:tc>
          <w:tcPr>
            <w:tcW w:w="4620" w:type="dxa"/>
            <w:tcBorders>
              <w:top w:val="nil"/>
              <w:left w:val="single" w:color="000000" w:sz="4" w:space="0"/>
              <w:bottom w:val="single" w:color="000000" w:sz="4" w:space="0"/>
              <w:right w:val="single" w:color="000000" w:sz="4" w:space="0"/>
            </w:tcBorders>
            <w:shd w:val="clear" w:color="auto" w:fill="FFFFFF"/>
            <w:noWrap w:val="0"/>
            <w:vAlign w:val="center"/>
          </w:tcPr>
          <w:p>
            <w:pPr>
              <w:jc w:val="left"/>
              <w:rPr>
                <w:rFonts w:hint="eastAsia" w:ascii="宋体" w:hAnsi="宋体" w:eastAsia="宋体" w:cs="宋体"/>
                <w:i w:val="0"/>
                <w:iCs w:val="0"/>
                <w:color w:val="000000"/>
                <w:sz w:val="22"/>
                <w:szCs w:val="22"/>
                <w:highlight w:val="none"/>
                <w:u w:val="none"/>
              </w:rPr>
            </w:pPr>
          </w:p>
        </w:tc>
        <w:tc>
          <w:tcPr>
            <w:tcW w:w="81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w:t>
            </w:r>
          </w:p>
        </w:tc>
        <w:tc>
          <w:tcPr>
            <w:tcW w:w="1491"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highlight w:val="none"/>
                <w:u w:val="none"/>
              </w:rPr>
            </w:pPr>
          </w:p>
        </w:tc>
        <w:tc>
          <w:tcPr>
            <w:tcW w:w="4348"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二十三、其他支出</w:t>
            </w:r>
          </w:p>
        </w:tc>
        <w:tc>
          <w:tcPr>
            <w:tcW w:w="81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54</w:t>
            </w:r>
          </w:p>
        </w:tc>
        <w:tc>
          <w:tcPr>
            <w:tcW w:w="200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08" w:hRule="atLeast"/>
        </w:trPr>
        <w:tc>
          <w:tcPr>
            <w:tcW w:w="4620" w:type="dxa"/>
            <w:tcBorders>
              <w:top w:val="nil"/>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0"/>
                <w:szCs w:val="20"/>
                <w:highlight w:val="none"/>
                <w:u w:val="none"/>
              </w:rPr>
            </w:pPr>
          </w:p>
        </w:tc>
        <w:tc>
          <w:tcPr>
            <w:tcW w:w="81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w:t>
            </w:r>
          </w:p>
        </w:tc>
        <w:tc>
          <w:tcPr>
            <w:tcW w:w="1491"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0"/>
                <w:szCs w:val="20"/>
                <w:highlight w:val="none"/>
                <w:u w:val="none"/>
              </w:rPr>
            </w:pPr>
          </w:p>
        </w:tc>
        <w:tc>
          <w:tcPr>
            <w:tcW w:w="4348"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二十四、债务还本支出</w:t>
            </w:r>
          </w:p>
        </w:tc>
        <w:tc>
          <w:tcPr>
            <w:tcW w:w="81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w:t>
            </w:r>
          </w:p>
        </w:tc>
        <w:tc>
          <w:tcPr>
            <w:tcW w:w="200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08" w:hRule="atLeast"/>
        </w:trPr>
        <w:tc>
          <w:tcPr>
            <w:tcW w:w="4620" w:type="dxa"/>
            <w:tcBorders>
              <w:top w:val="nil"/>
              <w:left w:val="single" w:color="000000" w:sz="4" w:space="0"/>
              <w:bottom w:val="single" w:color="000000" w:sz="4" w:space="0"/>
              <w:right w:val="single" w:color="000000" w:sz="4" w:space="0"/>
            </w:tcBorders>
            <w:shd w:val="clear" w:color="auto" w:fill="FFFFFF"/>
            <w:noWrap w:val="0"/>
            <w:vAlign w:val="center"/>
          </w:tcPr>
          <w:p>
            <w:pPr>
              <w:jc w:val="left"/>
              <w:rPr>
                <w:rFonts w:hint="eastAsia" w:ascii="宋体" w:hAnsi="宋体" w:eastAsia="宋体" w:cs="宋体"/>
                <w:i w:val="0"/>
                <w:iCs w:val="0"/>
                <w:color w:val="000000"/>
                <w:sz w:val="20"/>
                <w:szCs w:val="20"/>
                <w:highlight w:val="none"/>
                <w:u w:val="none"/>
              </w:rPr>
            </w:pPr>
          </w:p>
        </w:tc>
        <w:tc>
          <w:tcPr>
            <w:tcW w:w="81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c>
          <w:tcPr>
            <w:tcW w:w="1491"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0"/>
                <w:szCs w:val="20"/>
                <w:highlight w:val="none"/>
                <w:u w:val="none"/>
              </w:rPr>
            </w:pPr>
          </w:p>
        </w:tc>
        <w:tc>
          <w:tcPr>
            <w:tcW w:w="4348"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二十五、债务付息支出</w:t>
            </w:r>
          </w:p>
        </w:tc>
        <w:tc>
          <w:tcPr>
            <w:tcW w:w="81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w:t>
            </w:r>
          </w:p>
        </w:tc>
        <w:tc>
          <w:tcPr>
            <w:tcW w:w="200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08" w:hRule="atLeast"/>
        </w:trPr>
        <w:tc>
          <w:tcPr>
            <w:tcW w:w="4620" w:type="dxa"/>
            <w:tcBorders>
              <w:top w:val="nil"/>
              <w:left w:val="single" w:color="000000" w:sz="4" w:space="0"/>
              <w:bottom w:val="single" w:color="000000" w:sz="4" w:space="0"/>
              <w:right w:val="single" w:color="000000" w:sz="4" w:space="0"/>
            </w:tcBorders>
            <w:shd w:val="clear" w:color="auto" w:fill="FFFFFF"/>
            <w:noWrap w:val="0"/>
            <w:vAlign w:val="center"/>
          </w:tcPr>
          <w:p>
            <w:pPr>
              <w:jc w:val="left"/>
              <w:rPr>
                <w:rFonts w:hint="eastAsia" w:ascii="宋体" w:hAnsi="宋体" w:eastAsia="宋体" w:cs="宋体"/>
                <w:i w:val="0"/>
                <w:iCs w:val="0"/>
                <w:color w:val="000000"/>
                <w:sz w:val="20"/>
                <w:szCs w:val="20"/>
                <w:highlight w:val="none"/>
                <w:u w:val="none"/>
              </w:rPr>
            </w:pPr>
          </w:p>
        </w:tc>
        <w:tc>
          <w:tcPr>
            <w:tcW w:w="81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w:t>
            </w:r>
          </w:p>
        </w:tc>
        <w:tc>
          <w:tcPr>
            <w:tcW w:w="1491"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0"/>
                <w:szCs w:val="20"/>
                <w:highlight w:val="none"/>
                <w:u w:val="none"/>
              </w:rPr>
            </w:pPr>
          </w:p>
        </w:tc>
        <w:tc>
          <w:tcPr>
            <w:tcW w:w="4348"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二十六、抗疫特别国债安排的支出</w:t>
            </w:r>
          </w:p>
        </w:tc>
        <w:tc>
          <w:tcPr>
            <w:tcW w:w="81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57</w:t>
            </w:r>
          </w:p>
        </w:tc>
        <w:tc>
          <w:tcPr>
            <w:tcW w:w="200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08" w:hRule="atLeast"/>
        </w:trPr>
        <w:tc>
          <w:tcPr>
            <w:tcW w:w="4620"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本年收入合计</w:t>
            </w:r>
          </w:p>
        </w:tc>
        <w:tc>
          <w:tcPr>
            <w:tcW w:w="81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w:t>
            </w:r>
          </w:p>
        </w:tc>
        <w:tc>
          <w:tcPr>
            <w:tcW w:w="149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81434.81</w:t>
            </w:r>
          </w:p>
        </w:tc>
        <w:tc>
          <w:tcPr>
            <w:tcW w:w="4348"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本年支出合计</w:t>
            </w:r>
          </w:p>
        </w:tc>
        <w:tc>
          <w:tcPr>
            <w:tcW w:w="81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58</w:t>
            </w:r>
          </w:p>
        </w:tc>
        <w:tc>
          <w:tcPr>
            <w:tcW w:w="200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81434.81</w:t>
            </w:r>
          </w:p>
        </w:tc>
      </w:tr>
      <w:tr>
        <w:tblPrEx>
          <w:tblCellMar>
            <w:top w:w="0" w:type="dxa"/>
            <w:left w:w="108" w:type="dxa"/>
            <w:bottom w:w="0" w:type="dxa"/>
            <w:right w:w="108" w:type="dxa"/>
          </w:tblCellMar>
        </w:tblPrEx>
        <w:trPr>
          <w:trHeight w:val="308" w:hRule="atLeast"/>
        </w:trPr>
        <w:tc>
          <w:tcPr>
            <w:tcW w:w="4620"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使用非财政拨款结余</w:t>
            </w:r>
          </w:p>
        </w:tc>
        <w:tc>
          <w:tcPr>
            <w:tcW w:w="81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149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4348"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结余分配</w:t>
            </w:r>
          </w:p>
        </w:tc>
        <w:tc>
          <w:tcPr>
            <w:tcW w:w="81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59</w:t>
            </w:r>
          </w:p>
        </w:tc>
        <w:tc>
          <w:tcPr>
            <w:tcW w:w="200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08" w:hRule="atLeast"/>
        </w:trPr>
        <w:tc>
          <w:tcPr>
            <w:tcW w:w="4620"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年初结转和结余</w:t>
            </w:r>
          </w:p>
        </w:tc>
        <w:tc>
          <w:tcPr>
            <w:tcW w:w="81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w:t>
            </w:r>
          </w:p>
        </w:tc>
        <w:tc>
          <w:tcPr>
            <w:tcW w:w="149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p>
        </w:tc>
        <w:tc>
          <w:tcPr>
            <w:tcW w:w="4348"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年末结转和结余</w:t>
            </w:r>
          </w:p>
        </w:tc>
        <w:tc>
          <w:tcPr>
            <w:tcW w:w="81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200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p>
        </w:tc>
      </w:tr>
      <w:tr>
        <w:tblPrEx>
          <w:tblCellMar>
            <w:top w:w="0" w:type="dxa"/>
            <w:left w:w="108" w:type="dxa"/>
            <w:bottom w:w="0" w:type="dxa"/>
            <w:right w:w="108" w:type="dxa"/>
          </w:tblCellMar>
        </w:tblPrEx>
        <w:trPr>
          <w:trHeight w:val="308" w:hRule="atLeast"/>
        </w:trPr>
        <w:tc>
          <w:tcPr>
            <w:tcW w:w="4620" w:type="dxa"/>
            <w:tcBorders>
              <w:top w:val="nil"/>
              <w:left w:val="single" w:color="000000" w:sz="4" w:space="0"/>
              <w:bottom w:val="single" w:color="000000" w:sz="4" w:space="0"/>
              <w:right w:val="single" w:color="000000" w:sz="4" w:space="0"/>
            </w:tcBorders>
            <w:shd w:val="clear" w:color="auto" w:fill="FFFFFF"/>
            <w:noWrap w:val="0"/>
            <w:vAlign w:val="center"/>
          </w:tcPr>
          <w:p>
            <w:pPr>
              <w:jc w:val="left"/>
              <w:rPr>
                <w:rFonts w:hint="eastAsia" w:ascii="宋体" w:hAnsi="宋体" w:eastAsia="宋体" w:cs="宋体"/>
                <w:i w:val="0"/>
                <w:iCs w:val="0"/>
                <w:color w:val="000000"/>
                <w:sz w:val="22"/>
                <w:szCs w:val="22"/>
                <w:highlight w:val="none"/>
                <w:u w:val="none"/>
              </w:rPr>
            </w:pPr>
          </w:p>
        </w:tc>
        <w:tc>
          <w:tcPr>
            <w:tcW w:w="81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1491"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highlight w:val="none"/>
                <w:u w:val="none"/>
              </w:rPr>
            </w:pPr>
          </w:p>
        </w:tc>
        <w:tc>
          <w:tcPr>
            <w:tcW w:w="4348" w:type="dxa"/>
            <w:tcBorders>
              <w:top w:val="nil"/>
              <w:left w:val="nil"/>
              <w:bottom w:val="single" w:color="000000" w:sz="4" w:space="0"/>
              <w:right w:val="single" w:color="000000" w:sz="4" w:space="0"/>
            </w:tcBorders>
            <w:shd w:val="clear" w:color="auto" w:fill="FFFFFF"/>
            <w:noWrap w:val="0"/>
            <w:vAlign w:val="center"/>
          </w:tcPr>
          <w:p>
            <w:pPr>
              <w:jc w:val="left"/>
              <w:rPr>
                <w:rFonts w:hint="eastAsia" w:ascii="宋体" w:hAnsi="宋体" w:eastAsia="宋体" w:cs="宋体"/>
                <w:i w:val="0"/>
                <w:iCs w:val="0"/>
                <w:color w:val="000000"/>
                <w:sz w:val="22"/>
                <w:szCs w:val="22"/>
                <w:highlight w:val="none"/>
                <w:u w:val="none"/>
              </w:rPr>
            </w:pPr>
          </w:p>
        </w:tc>
        <w:tc>
          <w:tcPr>
            <w:tcW w:w="81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61</w:t>
            </w:r>
          </w:p>
        </w:tc>
        <w:tc>
          <w:tcPr>
            <w:tcW w:w="2000" w:type="dxa"/>
            <w:tcBorders>
              <w:top w:val="nil"/>
              <w:left w:val="nil"/>
              <w:bottom w:val="single" w:color="000000" w:sz="4" w:space="0"/>
              <w:right w:val="single" w:color="000000" w:sz="4" w:space="0"/>
            </w:tcBorders>
            <w:shd w:val="clear" w:color="auto" w:fill="FFFFFF"/>
            <w:noWrap w:val="0"/>
            <w:vAlign w:val="center"/>
          </w:tcPr>
          <w:p>
            <w:pPr>
              <w:jc w:val="left"/>
              <w:rPr>
                <w:rFonts w:hint="eastAsia" w:ascii="宋体" w:hAnsi="宋体" w:eastAsia="宋体" w:cs="宋体"/>
                <w:i w:val="0"/>
                <w:iCs w:val="0"/>
                <w:color w:val="000000"/>
                <w:sz w:val="22"/>
                <w:szCs w:val="22"/>
                <w:highlight w:val="none"/>
                <w:u w:val="none"/>
              </w:rPr>
            </w:pPr>
          </w:p>
        </w:tc>
      </w:tr>
      <w:tr>
        <w:tblPrEx>
          <w:tblCellMar>
            <w:top w:w="0" w:type="dxa"/>
            <w:left w:w="108" w:type="dxa"/>
            <w:bottom w:w="0" w:type="dxa"/>
            <w:right w:w="108" w:type="dxa"/>
          </w:tblCellMar>
        </w:tblPrEx>
        <w:trPr>
          <w:trHeight w:val="308" w:hRule="atLeast"/>
        </w:trPr>
        <w:tc>
          <w:tcPr>
            <w:tcW w:w="4620"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总计</w:t>
            </w:r>
          </w:p>
        </w:tc>
        <w:tc>
          <w:tcPr>
            <w:tcW w:w="811" w:type="dxa"/>
            <w:tcBorders>
              <w:top w:val="nil"/>
              <w:left w:val="nil"/>
              <w:bottom w:val="single" w:color="000000" w:sz="8"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w:t>
            </w:r>
          </w:p>
        </w:tc>
        <w:tc>
          <w:tcPr>
            <w:tcW w:w="149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81434.81</w:t>
            </w:r>
          </w:p>
        </w:tc>
        <w:tc>
          <w:tcPr>
            <w:tcW w:w="4348"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总计</w:t>
            </w:r>
          </w:p>
        </w:tc>
        <w:tc>
          <w:tcPr>
            <w:tcW w:w="81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w:t>
            </w:r>
          </w:p>
        </w:tc>
        <w:tc>
          <w:tcPr>
            <w:tcW w:w="200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81434.81</w:t>
            </w:r>
          </w:p>
        </w:tc>
      </w:tr>
      <w:tr>
        <w:tblPrEx>
          <w:tblCellMar>
            <w:top w:w="0" w:type="dxa"/>
            <w:left w:w="108" w:type="dxa"/>
            <w:bottom w:w="0" w:type="dxa"/>
            <w:right w:w="108" w:type="dxa"/>
          </w:tblCellMar>
        </w:tblPrEx>
        <w:trPr>
          <w:trHeight w:val="308" w:hRule="atLeast"/>
        </w:trPr>
        <w:tc>
          <w:tcPr>
            <w:tcW w:w="14081" w:type="dxa"/>
            <w:gridSpan w:val="6"/>
            <w:tcBorders>
              <w:top w:val="nil"/>
              <w:left w:val="nil"/>
              <w:bottom w:val="nil"/>
              <w:right w:val="nil"/>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注：本表反映部门本年度的总收支和年末结转结余情况。本套报表金额单位转换时可能存在尾数误差。</w:t>
            </w:r>
          </w:p>
        </w:tc>
      </w:tr>
    </w:tbl>
    <w:p>
      <w:pPr>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10"/>
        <w:tblW w:w="13988" w:type="dxa"/>
        <w:tblInd w:w="0" w:type="dxa"/>
        <w:tblLayout w:type="fixed"/>
        <w:tblCellMar>
          <w:top w:w="0" w:type="dxa"/>
          <w:left w:w="0" w:type="dxa"/>
          <w:bottom w:w="0" w:type="dxa"/>
          <w:right w:w="0" w:type="dxa"/>
        </w:tblCellMar>
      </w:tblPr>
      <w:tblGrid>
        <w:gridCol w:w="69"/>
        <w:gridCol w:w="69"/>
        <w:gridCol w:w="734"/>
        <w:gridCol w:w="4523"/>
        <w:gridCol w:w="1674"/>
        <w:gridCol w:w="1445"/>
        <w:gridCol w:w="945"/>
        <w:gridCol w:w="945"/>
        <w:gridCol w:w="995"/>
        <w:gridCol w:w="989"/>
        <w:gridCol w:w="1600"/>
      </w:tblGrid>
      <w:tr>
        <w:tblPrEx>
          <w:tblCellMar>
            <w:top w:w="0" w:type="dxa"/>
            <w:left w:w="0" w:type="dxa"/>
            <w:bottom w:w="0" w:type="dxa"/>
            <w:right w:w="0" w:type="dxa"/>
          </w:tblCellMar>
        </w:tblPrEx>
        <w:trPr>
          <w:trHeight w:val="390" w:hRule="atLeast"/>
        </w:trPr>
        <w:tc>
          <w:tcPr>
            <w:tcW w:w="13988" w:type="dxa"/>
            <w:gridSpan w:val="11"/>
            <w:tcBorders>
              <w:top w:val="nil"/>
              <w:left w:val="nil"/>
              <w:bottom w:val="nil"/>
              <w:right w:val="nil"/>
            </w:tcBorders>
            <w:noWrap w:val="0"/>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highlight w:val="none"/>
                <w:u w:val="none"/>
              </w:rPr>
            </w:pPr>
            <w:r>
              <w:rPr>
                <w:rFonts w:hint="eastAsia" w:ascii="宋体" w:hAnsi="宋体" w:eastAsia="宋体" w:cs="宋体"/>
                <w:i w:val="0"/>
                <w:color w:val="000000"/>
                <w:kern w:val="0"/>
                <w:sz w:val="30"/>
                <w:szCs w:val="30"/>
                <w:highlight w:val="none"/>
                <w:u w:val="none"/>
                <w:lang w:val="en-US" w:eastAsia="zh-CN" w:bidi="ar"/>
              </w:rPr>
              <w:t>收入决算表</w:t>
            </w:r>
          </w:p>
        </w:tc>
      </w:tr>
      <w:tr>
        <w:tblPrEx>
          <w:tblCellMar>
            <w:top w:w="0" w:type="dxa"/>
            <w:left w:w="0" w:type="dxa"/>
            <w:bottom w:w="0" w:type="dxa"/>
            <w:right w:w="0" w:type="dxa"/>
          </w:tblCellMar>
        </w:tblPrEx>
        <w:trPr>
          <w:trHeight w:val="255" w:hRule="atLeast"/>
        </w:trPr>
        <w:tc>
          <w:tcPr>
            <w:tcW w:w="69" w:type="dxa"/>
            <w:tcBorders>
              <w:top w:val="nil"/>
              <w:left w:val="nil"/>
              <w:bottom w:val="nil"/>
              <w:right w:val="nil"/>
            </w:tcBorders>
            <w:noWrap w:val="0"/>
            <w:tcMar>
              <w:top w:w="15" w:type="dxa"/>
              <w:left w:w="15" w:type="dxa"/>
              <w:right w:w="15" w:type="dxa"/>
            </w:tcMar>
            <w:vAlign w:val="bottom"/>
          </w:tcPr>
          <w:p>
            <w:pPr>
              <w:rPr>
                <w:rFonts w:hint="eastAsia" w:ascii="Arial" w:hAnsi="Arial" w:cs="Arial"/>
                <w:i w:val="0"/>
                <w:color w:val="000000"/>
                <w:sz w:val="20"/>
                <w:szCs w:val="20"/>
                <w:highlight w:val="none"/>
                <w:u w:val="none"/>
              </w:rPr>
            </w:pPr>
          </w:p>
        </w:tc>
        <w:tc>
          <w:tcPr>
            <w:tcW w:w="69"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000000"/>
                <w:sz w:val="20"/>
                <w:szCs w:val="20"/>
                <w:highlight w:val="none"/>
                <w:u w:val="none"/>
              </w:rPr>
            </w:pPr>
          </w:p>
        </w:tc>
        <w:tc>
          <w:tcPr>
            <w:tcW w:w="734"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000000"/>
                <w:sz w:val="20"/>
                <w:szCs w:val="20"/>
                <w:highlight w:val="none"/>
                <w:u w:val="none"/>
              </w:rPr>
            </w:pPr>
          </w:p>
        </w:tc>
        <w:tc>
          <w:tcPr>
            <w:tcW w:w="4523"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000000"/>
                <w:sz w:val="20"/>
                <w:szCs w:val="20"/>
                <w:highlight w:val="none"/>
                <w:u w:val="none"/>
              </w:rPr>
            </w:pPr>
          </w:p>
        </w:tc>
        <w:tc>
          <w:tcPr>
            <w:tcW w:w="1674"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000000"/>
                <w:sz w:val="20"/>
                <w:szCs w:val="20"/>
                <w:highlight w:val="none"/>
                <w:u w:val="none"/>
              </w:rPr>
            </w:pPr>
          </w:p>
        </w:tc>
        <w:tc>
          <w:tcPr>
            <w:tcW w:w="1445"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000000"/>
                <w:sz w:val="20"/>
                <w:szCs w:val="20"/>
                <w:highlight w:val="none"/>
                <w:u w:val="none"/>
              </w:rPr>
            </w:pPr>
          </w:p>
        </w:tc>
        <w:tc>
          <w:tcPr>
            <w:tcW w:w="945"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000000"/>
                <w:sz w:val="20"/>
                <w:szCs w:val="20"/>
                <w:highlight w:val="none"/>
                <w:u w:val="none"/>
              </w:rPr>
            </w:pPr>
          </w:p>
        </w:tc>
        <w:tc>
          <w:tcPr>
            <w:tcW w:w="945"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000000"/>
                <w:sz w:val="20"/>
                <w:szCs w:val="20"/>
                <w:highlight w:val="none"/>
                <w:u w:val="none"/>
              </w:rPr>
            </w:pPr>
          </w:p>
        </w:tc>
        <w:tc>
          <w:tcPr>
            <w:tcW w:w="995"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000000"/>
                <w:sz w:val="20"/>
                <w:szCs w:val="20"/>
                <w:highlight w:val="none"/>
                <w:u w:val="none"/>
              </w:rPr>
            </w:pPr>
          </w:p>
        </w:tc>
        <w:tc>
          <w:tcPr>
            <w:tcW w:w="989"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000000"/>
                <w:sz w:val="20"/>
                <w:szCs w:val="20"/>
                <w:highlight w:val="none"/>
                <w:u w:val="none"/>
              </w:rPr>
            </w:pPr>
          </w:p>
        </w:tc>
        <w:tc>
          <w:tcPr>
            <w:tcW w:w="1600" w:type="dxa"/>
            <w:tcBorders>
              <w:top w:val="nil"/>
              <w:left w:val="nil"/>
              <w:bottom w:val="nil"/>
              <w:right w:val="nil"/>
            </w:tcBorders>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公开02表</w:t>
            </w:r>
          </w:p>
        </w:tc>
      </w:tr>
      <w:tr>
        <w:tblPrEx>
          <w:tblCellMar>
            <w:top w:w="0" w:type="dxa"/>
            <w:left w:w="0" w:type="dxa"/>
            <w:bottom w:w="0" w:type="dxa"/>
            <w:right w:w="0" w:type="dxa"/>
          </w:tblCellMar>
        </w:tblPrEx>
        <w:trPr>
          <w:trHeight w:val="255" w:hRule="atLeast"/>
        </w:trPr>
        <w:tc>
          <w:tcPr>
            <w:tcW w:w="5395" w:type="dxa"/>
            <w:gridSpan w:val="4"/>
            <w:tcBorders>
              <w:top w:val="nil"/>
              <w:left w:val="nil"/>
              <w:bottom w:val="nil"/>
              <w:right w:val="nil"/>
            </w:tcBorders>
            <w:noWrap w:val="0"/>
            <w:tcMar>
              <w:top w:w="15" w:type="dxa"/>
              <w:left w:w="15" w:type="dxa"/>
              <w:right w:w="15" w:type="dxa"/>
            </w:tcMar>
            <w:vAlign w:val="bottom"/>
          </w:tcPr>
          <w:p>
            <w:pPr>
              <w:keepNext w:val="0"/>
              <w:keepLines w:val="0"/>
              <w:widowControl/>
              <w:suppressLineNumbers w:val="0"/>
              <w:jc w:val="both"/>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部门：许昌市建安区住房和城乡建设局</w:t>
            </w:r>
            <w:r>
              <w:rPr>
                <w:rFonts w:hint="eastAsia" w:ascii="宋体" w:hAnsi="宋体" w:eastAsia="宋体" w:cs="宋体"/>
                <w:i w:val="0"/>
                <w:iCs w:val="0"/>
                <w:color w:val="000000"/>
                <w:kern w:val="0"/>
                <w:sz w:val="20"/>
                <w:szCs w:val="20"/>
                <w:highlight w:val="none"/>
                <w:u w:val="none"/>
                <w:lang w:val="en-US" w:eastAsia="zh-CN" w:bidi="ar"/>
              </w:rPr>
              <w:t>（本级）</w:t>
            </w:r>
          </w:p>
        </w:tc>
        <w:tc>
          <w:tcPr>
            <w:tcW w:w="1674"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000000"/>
                <w:sz w:val="20"/>
                <w:szCs w:val="20"/>
                <w:highlight w:val="none"/>
                <w:u w:val="none"/>
              </w:rPr>
            </w:pPr>
          </w:p>
        </w:tc>
        <w:tc>
          <w:tcPr>
            <w:tcW w:w="1445"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000000"/>
                <w:sz w:val="20"/>
                <w:szCs w:val="20"/>
                <w:highlight w:val="none"/>
                <w:u w:val="none"/>
              </w:rPr>
            </w:pPr>
          </w:p>
        </w:tc>
        <w:tc>
          <w:tcPr>
            <w:tcW w:w="945"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000000"/>
                <w:sz w:val="20"/>
                <w:szCs w:val="20"/>
                <w:highlight w:val="none"/>
                <w:u w:val="none"/>
              </w:rPr>
            </w:pPr>
          </w:p>
        </w:tc>
        <w:tc>
          <w:tcPr>
            <w:tcW w:w="945"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000000"/>
                <w:sz w:val="20"/>
                <w:szCs w:val="20"/>
                <w:highlight w:val="none"/>
                <w:u w:val="none"/>
              </w:rPr>
            </w:pPr>
          </w:p>
        </w:tc>
        <w:tc>
          <w:tcPr>
            <w:tcW w:w="995"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000000"/>
                <w:sz w:val="20"/>
                <w:szCs w:val="20"/>
                <w:highlight w:val="none"/>
                <w:u w:val="none"/>
              </w:rPr>
            </w:pPr>
          </w:p>
        </w:tc>
        <w:tc>
          <w:tcPr>
            <w:tcW w:w="989"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000000"/>
                <w:sz w:val="20"/>
                <w:szCs w:val="20"/>
                <w:highlight w:val="none"/>
                <w:u w:val="none"/>
              </w:rPr>
            </w:pPr>
          </w:p>
        </w:tc>
        <w:tc>
          <w:tcPr>
            <w:tcW w:w="1600" w:type="dxa"/>
            <w:tcBorders>
              <w:top w:val="nil"/>
              <w:left w:val="nil"/>
              <w:bottom w:val="nil"/>
              <w:right w:val="nil"/>
            </w:tcBorders>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金额单位：万元</w:t>
            </w:r>
          </w:p>
        </w:tc>
      </w:tr>
      <w:tr>
        <w:tblPrEx>
          <w:tblCellMar>
            <w:top w:w="0" w:type="dxa"/>
            <w:left w:w="0" w:type="dxa"/>
            <w:bottom w:w="0" w:type="dxa"/>
            <w:right w:w="0" w:type="dxa"/>
          </w:tblCellMar>
        </w:tblPrEx>
        <w:trPr>
          <w:trHeight w:val="308" w:hRule="atLeast"/>
        </w:trPr>
        <w:tc>
          <w:tcPr>
            <w:tcW w:w="5395" w:type="dxa"/>
            <w:gridSpan w:val="4"/>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项目</w:t>
            </w:r>
          </w:p>
        </w:tc>
        <w:tc>
          <w:tcPr>
            <w:tcW w:w="1674" w:type="dxa"/>
            <w:vMerge w:val="restart"/>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本年收入合计</w:t>
            </w:r>
          </w:p>
        </w:tc>
        <w:tc>
          <w:tcPr>
            <w:tcW w:w="1445" w:type="dxa"/>
            <w:vMerge w:val="restart"/>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财政拨款收入</w:t>
            </w:r>
          </w:p>
        </w:tc>
        <w:tc>
          <w:tcPr>
            <w:tcW w:w="945" w:type="dxa"/>
            <w:vMerge w:val="restart"/>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上级补助收入</w:t>
            </w:r>
          </w:p>
        </w:tc>
        <w:tc>
          <w:tcPr>
            <w:tcW w:w="945" w:type="dxa"/>
            <w:vMerge w:val="restart"/>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事业收入</w:t>
            </w:r>
          </w:p>
        </w:tc>
        <w:tc>
          <w:tcPr>
            <w:tcW w:w="995" w:type="dxa"/>
            <w:vMerge w:val="restart"/>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经营收入</w:t>
            </w:r>
          </w:p>
        </w:tc>
        <w:tc>
          <w:tcPr>
            <w:tcW w:w="989" w:type="dxa"/>
            <w:vMerge w:val="restart"/>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附属单位上缴收入</w:t>
            </w:r>
          </w:p>
        </w:tc>
        <w:tc>
          <w:tcPr>
            <w:tcW w:w="1600" w:type="dxa"/>
            <w:vMerge w:val="restart"/>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其他收入</w:t>
            </w:r>
          </w:p>
        </w:tc>
      </w:tr>
      <w:tr>
        <w:tblPrEx>
          <w:tblCellMar>
            <w:top w:w="0" w:type="dxa"/>
            <w:left w:w="0" w:type="dxa"/>
            <w:bottom w:w="0" w:type="dxa"/>
            <w:right w:w="0" w:type="dxa"/>
          </w:tblCellMar>
        </w:tblPrEx>
        <w:trPr>
          <w:trHeight w:val="308" w:hRule="atLeast"/>
        </w:trPr>
        <w:tc>
          <w:tcPr>
            <w:tcW w:w="872" w:type="dxa"/>
            <w:gridSpan w:val="3"/>
            <w:vMerge w:val="restart"/>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功能分类科目编码</w:t>
            </w:r>
          </w:p>
        </w:tc>
        <w:tc>
          <w:tcPr>
            <w:tcW w:w="4523" w:type="dxa"/>
            <w:vMerge w:val="restart"/>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科目名称</w:t>
            </w:r>
          </w:p>
        </w:tc>
        <w:tc>
          <w:tcPr>
            <w:tcW w:w="1674" w:type="dxa"/>
            <w:vMerge w:val="continue"/>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445" w:type="dxa"/>
            <w:vMerge w:val="continue"/>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945" w:type="dxa"/>
            <w:vMerge w:val="continue"/>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945" w:type="dxa"/>
            <w:vMerge w:val="continue"/>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995" w:type="dxa"/>
            <w:vMerge w:val="continue"/>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989" w:type="dxa"/>
            <w:vMerge w:val="continue"/>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600" w:type="dxa"/>
            <w:vMerge w:val="continue"/>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308" w:hRule="atLeast"/>
        </w:trPr>
        <w:tc>
          <w:tcPr>
            <w:tcW w:w="872" w:type="dxa"/>
            <w:gridSpan w:val="3"/>
            <w:vMerge w:val="continue"/>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4523" w:type="dxa"/>
            <w:vMerge w:val="continue"/>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674" w:type="dxa"/>
            <w:vMerge w:val="continue"/>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445" w:type="dxa"/>
            <w:vMerge w:val="continue"/>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945" w:type="dxa"/>
            <w:vMerge w:val="continue"/>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945" w:type="dxa"/>
            <w:vMerge w:val="continue"/>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995" w:type="dxa"/>
            <w:vMerge w:val="continue"/>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989" w:type="dxa"/>
            <w:vMerge w:val="continue"/>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600" w:type="dxa"/>
            <w:vMerge w:val="continue"/>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308" w:hRule="atLeast"/>
        </w:trPr>
        <w:tc>
          <w:tcPr>
            <w:tcW w:w="872" w:type="dxa"/>
            <w:gridSpan w:val="3"/>
            <w:vMerge w:val="continue"/>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4523" w:type="dxa"/>
            <w:vMerge w:val="continue"/>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674" w:type="dxa"/>
            <w:vMerge w:val="continue"/>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445" w:type="dxa"/>
            <w:vMerge w:val="continue"/>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945" w:type="dxa"/>
            <w:vMerge w:val="continue"/>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945" w:type="dxa"/>
            <w:vMerge w:val="continue"/>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995" w:type="dxa"/>
            <w:vMerge w:val="continue"/>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989" w:type="dxa"/>
            <w:vMerge w:val="continue"/>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600" w:type="dxa"/>
            <w:vMerge w:val="continue"/>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308" w:hRule="atLeast"/>
        </w:trPr>
        <w:tc>
          <w:tcPr>
            <w:tcW w:w="5395" w:type="dxa"/>
            <w:gridSpan w:val="4"/>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栏次</w:t>
            </w:r>
          </w:p>
        </w:tc>
        <w:tc>
          <w:tcPr>
            <w:tcW w:w="1674"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w:t>
            </w:r>
          </w:p>
        </w:tc>
        <w:tc>
          <w:tcPr>
            <w:tcW w:w="144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w:t>
            </w:r>
          </w:p>
        </w:tc>
        <w:tc>
          <w:tcPr>
            <w:tcW w:w="94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w:t>
            </w:r>
          </w:p>
        </w:tc>
        <w:tc>
          <w:tcPr>
            <w:tcW w:w="94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w:t>
            </w:r>
          </w:p>
        </w:tc>
        <w:tc>
          <w:tcPr>
            <w:tcW w:w="99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w:t>
            </w:r>
          </w:p>
        </w:tc>
        <w:tc>
          <w:tcPr>
            <w:tcW w:w="989"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6</w:t>
            </w:r>
          </w:p>
        </w:tc>
        <w:tc>
          <w:tcPr>
            <w:tcW w:w="160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7</w:t>
            </w:r>
          </w:p>
        </w:tc>
      </w:tr>
      <w:tr>
        <w:tblPrEx>
          <w:tblCellMar>
            <w:top w:w="0" w:type="dxa"/>
            <w:left w:w="0" w:type="dxa"/>
            <w:bottom w:w="0" w:type="dxa"/>
            <w:right w:w="0" w:type="dxa"/>
          </w:tblCellMar>
        </w:tblPrEx>
        <w:trPr>
          <w:trHeight w:val="308" w:hRule="atLeast"/>
        </w:trPr>
        <w:tc>
          <w:tcPr>
            <w:tcW w:w="5395" w:type="dxa"/>
            <w:gridSpan w:val="4"/>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合计</w:t>
            </w:r>
          </w:p>
        </w:tc>
        <w:tc>
          <w:tcPr>
            <w:tcW w:w="1674"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highlight w:val="none"/>
                <w:u w:val="none"/>
                <w:lang w:val="en-US" w:eastAsia="zh-CN" w:bidi="ar-SA"/>
              </w:rPr>
            </w:pPr>
            <w:r>
              <w:rPr>
                <w:rFonts w:hint="eastAsia" w:ascii="宋体" w:hAnsi="宋体" w:eastAsia="宋体" w:cs="宋体"/>
                <w:b/>
                <w:bCs/>
                <w:i w:val="0"/>
                <w:iCs w:val="0"/>
                <w:color w:val="000000"/>
                <w:kern w:val="0"/>
                <w:sz w:val="22"/>
                <w:szCs w:val="22"/>
                <w:highlight w:val="none"/>
                <w:u w:val="none"/>
                <w:lang w:val="en-US" w:eastAsia="zh-CN" w:bidi="ar"/>
              </w:rPr>
              <w:t>81,434.81</w:t>
            </w:r>
          </w:p>
        </w:tc>
        <w:tc>
          <w:tcPr>
            <w:tcW w:w="144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37,577.92</w:t>
            </w:r>
          </w:p>
        </w:tc>
        <w:tc>
          <w:tcPr>
            <w:tcW w:w="94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0.00</w:t>
            </w:r>
          </w:p>
        </w:tc>
        <w:tc>
          <w:tcPr>
            <w:tcW w:w="94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0.00</w:t>
            </w:r>
          </w:p>
        </w:tc>
        <w:tc>
          <w:tcPr>
            <w:tcW w:w="99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0.00</w:t>
            </w:r>
          </w:p>
        </w:tc>
        <w:tc>
          <w:tcPr>
            <w:tcW w:w="989"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0.00</w:t>
            </w:r>
          </w:p>
        </w:tc>
        <w:tc>
          <w:tcPr>
            <w:tcW w:w="160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0.00</w:t>
            </w:r>
          </w:p>
        </w:tc>
      </w:tr>
      <w:tr>
        <w:tblPrEx>
          <w:tblCellMar>
            <w:top w:w="0" w:type="dxa"/>
            <w:left w:w="0" w:type="dxa"/>
            <w:bottom w:w="0" w:type="dxa"/>
            <w:right w:w="0" w:type="dxa"/>
          </w:tblCellMar>
        </w:tblPrEx>
        <w:trPr>
          <w:trHeight w:val="308" w:hRule="atLeast"/>
        </w:trPr>
        <w:tc>
          <w:tcPr>
            <w:tcW w:w="872" w:type="dxa"/>
            <w:gridSpan w:val="3"/>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w:t>
            </w:r>
          </w:p>
        </w:tc>
        <w:tc>
          <w:tcPr>
            <w:tcW w:w="4523"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社会保障和就业支出</w:t>
            </w:r>
          </w:p>
        </w:tc>
        <w:tc>
          <w:tcPr>
            <w:tcW w:w="1674"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42.91</w:t>
            </w:r>
          </w:p>
        </w:tc>
        <w:tc>
          <w:tcPr>
            <w:tcW w:w="144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42.91</w:t>
            </w:r>
          </w:p>
        </w:tc>
        <w:tc>
          <w:tcPr>
            <w:tcW w:w="94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c>
          <w:tcPr>
            <w:tcW w:w="94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c>
          <w:tcPr>
            <w:tcW w:w="99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c>
          <w:tcPr>
            <w:tcW w:w="989"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c>
          <w:tcPr>
            <w:tcW w:w="160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r>
      <w:tr>
        <w:tblPrEx>
          <w:tblCellMar>
            <w:top w:w="0" w:type="dxa"/>
            <w:left w:w="0" w:type="dxa"/>
            <w:bottom w:w="0" w:type="dxa"/>
            <w:right w:w="0" w:type="dxa"/>
          </w:tblCellMar>
        </w:tblPrEx>
        <w:trPr>
          <w:trHeight w:val="308" w:hRule="atLeast"/>
        </w:trPr>
        <w:tc>
          <w:tcPr>
            <w:tcW w:w="872" w:type="dxa"/>
            <w:gridSpan w:val="3"/>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w:t>
            </w:r>
          </w:p>
        </w:tc>
        <w:tc>
          <w:tcPr>
            <w:tcW w:w="4523"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行政事业单位养老支出</w:t>
            </w:r>
          </w:p>
        </w:tc>
        <w:tc>
          <w:tcPr>
            <w:tcW w:w="1674"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42.91</w:t>
            </w:r>
          </w:p>
        </w:tc>
        <w:tc>
          <w:tcPr>
            <w:tcW w:w="144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42.91</w:t>
            </w:r>
          </w:p>
        </w:tc>
        <w:tc>
          <w:tcPr>
            <w:tcW w:w="94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c>
          <w:tcPr>
            <w:tcW w:w="94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c>
          <w:tcPr>
            <w:tcW w:w="99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c>
          <w:tcPr>
            <w:tcW w:w="989"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c>
          <w:tcPr>
            <w:tcW w:w="160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r>
      <w:tr>
        <w:tblPrEx>
          <w:tblCellMar>
            <w:top w:w="0" w:type="dxa"/>
            <w:left w:w="0" w:type="dxa"/>
            <w:bottom w:w="0" w:type="dxa"/>
            <w:right w:w="0" w:type="dxa"/>
          </w:tblCellMar>
        </w:tblPrEx>
        <w:trPr>
          <w:trHeight w:val="308" w:hRule="atLeast"/>
        </w:trPr>
        <w:tc>
          <w:tcPr>
            <w:tcW w:w="872" w:type="dxa"/>
            <w:gridSpan w:val="3"/>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2080501</w:t>
            </w:r>
          </w:p>
        </w:tc>
        <w:tc>
          <w:tcPr>
            <w:tcW w:w="4523"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行政单位离退休</w:t>
            </w:r>
          </w:p>
        </w:tc>
        <w:tc>
          <w:tcPr>
            <w:tcW w:w="1674"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42.91</w:t>
            </w:r>
          </w:p>
        </w:tc>
        <w:tc>
          <w:tcPr>
            <w:tcW w:w="144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42.91</w:t>
            </w:r>
          </w:p>
        </w:tc>
        <w:tc>
          <w:tcPr>
            <w:tcW w:w="94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c>
          <w:tcPr>
            <w:tcW w:w="94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c>
          <w:tcPr>
            <w:tcW w:w="99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c>
          <w:tcPr>
            <w:tcW w:w="989"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c>
          <w:tcPr>
            <w:tcW w:w="160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r>
      <w:tr>
        <w:tblPrEx>
          <w:tblCellMar>
            <w:top w:w="0" w:type="dxa"/>
            <w:left w:w="0" w:type="dxa"/>
            <w:bottom w:w="0" w:type="dxa"/>
            <w:right w:w="0" w:type="dxa"/>
          </w:tblCellMar>
        </w:tblPrEx>
        <w:trPr>
          <w:trHeight w:val="308" w:hRule="atLeast"/>
        </w:trPr>
        <w:tc>
          <w:tcPr>
            <w:tcW w:w="872" w:type="dxa"/>
            <w:gridSpan w:val="3"/>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212</w:t>
            </w:r>
          </w:p>
        </w:tc>
        <w:tc>
          <w:tcPr>
            <w:tcW w:w="4523"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城乡社区支出</w:t>
            </w:r>
          </w:p>
        </w:tc>
        <w:tc>
          <w:tcPr>
            <w:tcW w:w="1674"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81,153.40</w:t>
            </w:r>
          </w:p>
        </w:tc>
        <w:tc>
          <w:tcPr>
            <w:tcW w:w="144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81,153.40</w:t>
            </w:r>
          </w:p>
        </w:tc>
        <w:tc>
          <w:tcPr>
            <w:tcW w:w="94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c>
          <w:tcPr>
            <w:tcW w:w="94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c>
          <w:tcPr>
            <w:tcW w:w="99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c>
          <w:tcPr>
            <w:tcW w:w="989"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c>
          <w:tcPr>
            <w:tcW w:w="160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r>
      <w:tr>
        <w:tblPrEx>
          <w:tblCellMar>
            <w:top w:w="0" w:type="dxa"/>
            <w:left w:w="0" w:type="dxa"/>
            <w:bottom w:w="0" w:type="dxa"/>
            <w:right w:w="0" w:type="dxa"/>
          </w:tblCellMar>
        </w:tblPrEx>
        <w:trPr>
          <w:trHeight w:val="308" w:hRule="atLeast"/>
        </w:trPr>
        <w:tc>
          <w:tcPr>
            <w:tcW w:w="872" w:type="dxa"/>
            <w:gridSpan w:val="3"/>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21201</w:t>
            </w:r>
          </w:p>
        </w:tc>
        <w:tc>
          <w:tcPr>
            <w:tcW w:w="4523"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城乡社区管理事务</w:t>
            </w:r>
          </w:p>
        </w:tc>
        <w:tc>
          <w:tcPr>
            <w:tcW w:w="1674"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367.96</w:t>
            </w:r>
          </w:p>
        </w:tc>
        <w:tc>
          <w:tcPr>
            <w:tcW w:w="144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367.96</w:t>
            </w:r>
          </w:p>
        </w:tc>
        <w:tc>
          <w:tcPr>
            <w:tcW w:w="94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c>
          <w:tcPr>
            <w:tcW w:w="94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c>
          <w:tcPr>
            <w:tcW w:w="99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c>
          <w:tcPr>
            <w:tcW w:w="989"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c>
          <w:tcPr>
            <w:tcW w:w="160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r>
      <w:tr>
        <w:tblPrEx>
          <w:tblCellMar>
            <w:top w:w="0" w:type="dxa"/>
            <w:left w:w="0" w:type="dxa"/>
            <w:bottom w:w="0" w:type="dxa"/>
            <w:right w:w="0" w:type="dxa"/>
          </w:tblCellMar>
        </w:tblPrEx>
        <w:trPr>
          <w:trHeight w:val="308" w:hRule="atLeast"/>
        </w:trPr>
        <w:tc>
          <w:tcPr>
            <w:tcW w:w="872"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2120101</w:t>
            </w:r>
          </w:p>
        </w:tc>
        <w:tc>
          <w:tcPr>
            <w:tcW w:w="452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行政运行</w:t>
            </w:r>
          </w:p>
        </w:tc>
        <w:tc>
          <w:tcPr>
            <w:tcW w:w="1674"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367.96</w:t>
            </w:r>
          </w:p>
        </w:tc>
        <w:tc>
          <w:tcPr>
            <w:tcW w:w="144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367.96</w:t>
            </w:r>
          </w:p>
        </w:tc>
        <w:tc>
          <w:tcPr>
            <w:tcW w:w="94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c>
          <w:tcPr>
            <w:tcW w:w="94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c>
          <w:tcPr>
            <w:tcW w:w="99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c>
          <w:tcPr>
            <w:tcW w:w="989"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c>
          <w:tcPr>
            <w:tcW w:w="160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r>
      <w:tr>
        <w:tblPrEx>
          <w:tblCellMar>
            <w:top w:w="0" w:type="dxa"/>
            <w:left w:w="0" w:type="dxa"/>
            <w:bottom w:w="0" w:type="dxa"/>
            <w:right w:w="0" w:type="dxa"/>
          </w:tblCellMar>
        </w:tblPrEx>
        <w:trPr>
          <w:trHeight w:val="308" w:hRule="atLeast"/>
        </w:trPr>
        <w:tc>
          <w:tcPr>
            <w:tcW w:w="872"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21203</w:t>
            </w:r>
          </w:p>
        </w:tc>
        <w:tc>
          <w:tcPr>
            <w:tcW w:w="452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城乡社区公共设施</w:t>
            </w:r>
          </w:p>
        </w:tc>
        <w:tc>
          <w:tcPr>
            <w:tcW w:w="1674"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41,628.49</w:t>
            </w:r>
          </w:p>
        </w:tc>
        <w:tc>
          <w:tcPr>
            <w:tcW w:w="144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41,628.49</w:t>
            </w:r>
          </w:p>
        </w:tc>
        <w:tc>
          <w:tcPr>
            <w:tcW w:w="94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c>
          <w:tcPr>
            <w:tcW w:w="94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c>
          <w:tcPr>
            <w:tcW w:w="99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c>
          <w:tcPr>
            <w:tcW w:w="989"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c>
          <w:tcPr>
            <w:tcW w:w="160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r>
      <w:tr>
        <w:tblPrEx>
          <w:tblCellMar>
            <w:top w:w="0" w:type="dxa"/>
            <w:left w:w="0" w:type="dxa"/>
            <w:bottom w:w="0" w:type="dxa"/>
            <w:right w:w="0" w:type="dxa"/>
          </w:tblCellMar>
        </w:tblPrEx>
        <w:trPr>
          <w:trHeight w:val="308" w:hRule="atLeast"/>
        </w:trPr>
        <w:tc>
          <w:tcPr>
            <w:tcW w:w="872"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2120399</w:t>
            </w:r>
          </w:p>
        </w:tc>
        <w:tc>
          <w:tcPr>
            <w:tcW w:w="452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其他城乡社区公共设施支出</w:t>
            </w:r>
          </w:p>
        </w:tc>
        <w:tc>
          <w:tcPr>
            <w:tcW w:w="1674"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41,628.49</w:t>
            </w:r>
          </w:p>
        </w:tc>
        <w:tc>
          <w:tcPr>
            <w:tcW w:w="144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41,628.49</w:t>
            </w:r>
          </w:p>
        </w:tc>
        <w:tc>
          <w:tcPr>
            <w:tcW w:w="94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c>
          <w:tcPr>
            <w:tcW w:w="94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c>
          <w:tcPr>
            <w:tcW w:w="99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c>
          <w:tcPr>
            <w:tcW w:w="989"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c>
          <w:tcPr>
            <w:tcW w:w="160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r>
      <w:tr>
        <w:tblPrEx>
          <w:tblCellMar>
            <w:top w:w="0" w:type="dxa"/>
            <w:left w:w="0" w:type="dxa"/>
            <w:bottom w:w="0" w:type="dxa"/>
            <w:right w:w="0" w:type="dxa"/>
          </w:tblCellMar>
        </w:tblPrEx>
        <w:trPr>
          <w:trHeight w:val="308" w:hRule="atLeast"/>
        </w:trPr>
        <w:tc>
          <w:tcPr>
            <w:tcW w:w="872"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21208</w:t>
            </w:r>
          </w:p>
        </w:tc>
        <w:tc>
          <w:tcPr>
            <w:tcW w:w="452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国有土地使用权出让收入安排的支出</w:t>
            </w:r>
          </w:p>
        </w:tc>
        <w:tc>
          <w:tcPr>
            <w:tcW w:w="1674"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37,656.95</w:t>
            </w:r>
          </w:p>
        </w:tc>
        <w:tc>
          <w:tcPr>
            <w:tcW w:w="144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37,656.95</w:t>
            </w:r>
          </w:p>
        </w:tc>
        <w:tc>
          <w:tcPr>
            <w:tcW w:w="94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c>
          <w:tcPr>
            <w:tcW w:w="94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c>
          <w:tcPr>
            <w:tcW w:w="99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c>
          <w:tcPr>
            <w:tcW w:w="989"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c>
          <w:tcPr>
            <w:tcW w:w="160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r>
      <w:tr>
        <w:tblPrEx>
          <w:tblCellMar>
            <w:top w:w="0" w:type="dxa"/>
            <w:left w:w="0" w:type="dxa"/>
            <w:bottom w:w="0" w:type="dxa"/>
            <w:right w:w="0" w:type="dxa"/>
          </w:tblCellMar>
        </w:tblPrEx>
        <w:trPr>
          <w:trHeight w:val="308" w:hRule="atLeast"/>
        </w:trPr>
        <w:tc>
          <w:tcPr>
            <w:tcW w:w="872"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2120899</w:t>
            </w:r>
          </w:p>
        </w:tc>
        <w:tc>
          <w:tcPr>
            <w:tcW w:w="452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其他国有土地使用权出让收入安排的支出</w:t>
            </w:r>
          </w:p>
        </w:tc>
        <w:tc>
          <w:tcPr>
            <w:tcW w:w="1674"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37,656.95</w:t>
            </w:r>
          </w:p>
        </w:tc>
        <w:tc>
          <w:tcPr>
            <w:tcW w:w="144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37,656.95</w:t>
            </w:r>
          </w:p>
        </w:tc>
        <w:tc>
          <w:tcPr>
            <w:tcW w:w="94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c>
          <w:tcPr>
            <w:tcW w:w="94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c>
          <w:tcPr>
            <w:tcW w:w="99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c>
          <w:tcPr>
            <w:tcW w:w="989"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c>
          <w:tcPr>
            <w:tcW w:w="160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r>
      <w:tr>
        <w:tblPrEx>
          <w:tblCellMar>
            <w:top w:w="0" w:type="dxa"/>
            <w:left w:w="0" w:type="dxa"/>
            <w:bottom w:w="0" w:type="dxa"/>
            <w:right w:w="0" w:type="dxa"/>
          </w:tblCellMar>
        </w:tblPrEx>
        <w:trPr>
          <w:trHeight w:val="308" w:hRule="atLeast"/>
        </w:trPr>
        <w:tc>
          <w:tcPr>
            <w:tcW w:w="872"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21213</w:t>
            </w:r>
          </w:p>
        </w:tc>
        <w:tc>
          <w:tcPr>
            <w:tcW w:w="452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城市基础设施配套费安排的支出</w:t>
            </w:r>
          </w:p>
        </w:tc>
        <w:tc>
          <w:tcPr>
            <w:tcW w:w="1674"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500.00</w:t>
            </w:r>
          </w:p>
        </w:tc>
        <w:tc>
          <w:tcPr>
            <w:tcW w:w="144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500.00</w:t>
            </w:r>
          </w:p>
        </w:tc>
        <w:tc>
          <w:tcPr>
            <w:tcW w:w="94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c>
          <w:tcPr>
            <w:tcW w:w="94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c>
          <w:tcPr>
            <w:tcW w:w="99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c>
          <w:tcPr>
            <w:tcW w:w="989"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c>
          <w:tcPr>
            <w:tcW w:w="160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r>
      <w:tr>
        <w:tblPrEx>
          <w:tblCellMar>
            <w:top w:w="0" w:type="dxa"/>
            <w:left w:w="0" w:type="dxa"/>
            <w:bottom w:w="0" w:type="dxa"/>
            <w:right w:w="0" w:type="dxa"/>
          </w:tblCellMar>
        </w:tblPrEx>
        <w:trPr>
          <w:trHeight w:val="308" w:hRule="atLeast"/>
        </w:trPr>
        <w:tc>
          <w:tcPr>
            <w:tcW w:w="872"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2121301</w:t>
            </w:r>
          </w:p>
        </w:tc>
        <w:tc>
          <w:tcPr>
            <w:tcW w:w="452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城市公共设施</w:t>
            </w:r>
          </w:p>
        </w:tc>
        <w:tc>
          <w:tcPr>
            <w:tcW w:w="1674"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500.00</w:t>
            </w:r>
          </w:p>
        </w:tc>
        <w:tc>
          <w:tcPr>
            <w:tcW w:w="144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500.00</w:t>
            </w:r>
          </w:p>
        </w:tc>
        <w:tc>
          <w:tcPr>
            <w:tcW w:w="94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c>
          <w:tcPr>
            <w:tcW w:w="94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c>
          <w:tcPr>
            <w:tcW w:w="99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c>
          <w:tcPr>
            <w:tcW w:w="989"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c>
          <w:tcPr>
            <w:tcW w:w="160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r>
      <w:tr>
        <w:tblPrEx>
          <w:tblCellMar>
            <w:top w:w="0" w:type="dxa"/>
            <w:left w:w="0" w:type="dxa"/>
            <w:bottom w:w="0" w:type="dxa"/>
            <w:right w:w="0" w:type="dxa"/>
          </w:tblCellMar>
        </w:tblPrEx>
        <w:trPr>
          <w:trHeight w:val="308" w:hRule="atLeast"/>
        </w:trPr>
        <w:tc>
          <w:tcPr>
            <w:tcW w:w="872"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21216</w:t>
            </w:r>
          </w:p>
        </w:tc>
        <w:tc>
          <w:tcPr>
            <w:tcW w:w="452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棚户区改造专项债券收入安排的支出</w:t>
            </w:r>
          </w:p>
        </w:tc>
        <w:tc>
          <w:tcPr>
            <w:tcW w:w="1674"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1,000.00</w:t>
            </w:r>
          </w:p>
        </w:tc>
        <w:tc>
          <w:tcPr>
            <w:tcW w:w="144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1,000.00</w:t>
            </w:r>
          </w:p>
        </w:tc>
        <w:tc>
          <w:tcPr>
            <w:tcW w:w="94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c>
          <w:tcPr>
            <w:tcW w:w="94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c>
          <w:tcPr>
            <w:tcW w:w="99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c>
          <w:tcPr>
            <w:tcW w:w="989"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c>
          <w:tcPr>
            <w:tcW w:w="160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r>
      <w:tr>
        <w:tblPrEx>
          <w:tblCellMar>
            <w:top w:w="0" w:type="dxa"/>
            <w:left w:w="0" w:type="dxa"/>
            <w:bottom w:w="0" w:type="dxa"/>
            <w:right w:w="0" w:type="dxa"/>
          </w:tblCellMar>
        </w:tblPrEx>
        <w:trPr>
          <w:trHeight w:val="308" w:hRule="atLeast"/>
        </w:trPr>
        <w:tc>
          <w:tcPr>
            <w:tcW w:w="872" w:type="dxa"/>
            <w:gridSpan w:val="3"/>
            <w:tcBorders>
              <w:top w:val="nil"/>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2121699</w:t>
            </w:r>
          </w:p>
        </w:tc>
        <w:tc>
          <w:tcPr>
            <w:tcW w:w="4523" w:type="dxa"/>
            <w:tcBorders>
              <w:top w:val="nil"/>
              <w:left w:val="nil"/>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其他棚户区改造专项债券收入安排的支出</w:t>
            </w:r>
          </w:p>
        </w:tc>
        <w:tc>
          <w:tcPr>
            <w:tcW w:w="1674" w:type="dxa"/>
            <w:tcBorders>
              <w:top w:val="nil"/>
              <w:left w:val="nil"/>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1,000.00</w:t>
            </w:r>
          </w:p>
        </w:tc>
        <w:tc>
          <w:tcPr>
            <w:tcW w:w="1445" w:type="dxa"/>
            <w:tcBorders>
              <w:top w:val="nil"/>
              <w:left w:val="nil"/>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1,000.00</w:t>
            </w:r>
          </w:p>
        </w:tc>
        <w:tc>
          <w:tcPr>
            <w:tcW w:w="945" w:type="dxa"/>
            <w:tcBorders>
              <w:top w:val="nil"/>
              <w:left w:val="nil"/>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c>
          <w:tcPr>
            <w:tcW w:w="945" w:type="dxa"/>
            <w:tcBorders>
              <w:top w:val="nil"/>
              <w:left w:val="nil"/>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c>
          <w:tcPr>
            <w:tcW w:w="995" w:type="dxa"/>
            <w:tcBorders>
              <w:top w:val="nil"/>
              <w:left w:val="nil"/>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c>
          <w:tcPr>
            <w:tcW w:w="989" w:type="dxa"/>
            <w:tcBorders>
              <w:top w:val="nil"/>
              <w:left w:val="nil"/>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c>
          <w:tcPr>
            <w:tcW w:w="1600" w:type="dxa"/>
            <w:tcBorders>
              <w:top w:val="nil"/>
              <w:left w:val="nil"/>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r>
      <w:tr>
        <w:tblPrEx>
          <w:tblCellMar>
            <w:top w:w="0" w:type="dxa"/>
            <w:left w:w="0" w:type="dxa"/>
            <w:bottom w:w="0" w:type="dxa"/>
            <w:right w:w="0" w:type="dxa"/>
          </w:tblCellMar>
        </w:tblPrEx>
        <w:trPr>
          <w:trHeight w:val="308" w:hRule="atLeast"/>
        </w:trPr>
        <w:tc>
          <w:tcPr>
            <w:tcW w:w="872"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221</w:t>
            </w:r>
          </w:p>
        </w:tc>
        <w:tc>
          <w:tcPr>
            <w:tcW w:w="45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住房保障支出</w:t>
            </w:r>
          </w:p>
        </w:tc>
        <w:tc>
          <w:tcPr>
            <w:tcW w:w="16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238.50</w:t>
            </w:r>
          </w:p>
        </w:tc>
        <w:tc>
          <w:tcPr>
            <w:tcW w:w="14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238.50</w:t>
            </w:r>
          </w:p>
        </w:tc>
        <w:tc>
          <w:tcPr>
            <w:tcW w:w="9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c>
          <w:tcPr>
            <w:tcW w:w="9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c>
          <w:tcPr>
            <w:tcW w:w="98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c>
          <w:tcPr>
            <w:tcW w:w="16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r>
      <w:tr>
        <w:tblPrEx>
          <w:tblCellMar>
            <w:top w:w="0" w:type="dxa"/>
            <w:left w:w="0" w:type="dxa"/>
            <w:bottom w:w="0" w:type="dxa"/>
            <w:right w:w="0" w:type="dxa"/>
          </w:tblCellMar>
        </w:tblPrEx>
        <w:trPr>
          <w:trHeight w:val="308" w:hRule="atLeast"/>
        </w:trPr>
        <w:tc>
          <w:tcPr>
            <w:tcW w:w="872"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22101</w:t>
            </w:r>
          </w:p>
        </w:tc>
        <w:tc>
          <w:tcPr>
            <w:tcW w:w="45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保障性安居工程支出</w:t>
            </w:r>
          </w:p>
        </w:tc>
        <w:tc>
          <w:tcPr>
            <w:tcW w:w="16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238.50</w:t>
            </w:r>
          </w:p>
        </w:tc>
        <w:tc>
          <w:tcPr>
            <w:tcW w:w="14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238.50</w:t>
            </w:r>
          </w:p>
        </w:tc>
        <w:tc>
          <w:tcPr>
            <w:tcW w:w="9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c>
          <w:tcPr>
            <w:tcW w:w="9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c>
          <w:tcPr>
            <w:tcW w:w="98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c>
          <w:tcPr>
            <w:tcW w:w="16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r>
      <w:tr>
        <w:tblPrEx>
          <w:tblCellMar>
            <w:top w:w="0" w:type="dxa"/>
            <w:left w:w="0" w:type="dxa"/>
            <w:bottom w:w="0" w:type="dxa"/>
            <w:right w:w="0" w:type="dxa"/>
          </w:tblCellMar>
        </w:tblPrEx>
        <w:trPr>
          <w:trHeight w:val="308" w:hRule="atLeast"/>
        </w:trPr>
        <w:tc>
          <w:tcPr>
            <w:tcW w:w="872"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2210105</w:t>
            </w:r>
          </w:p>
        </w:tc>
        <w:tc>
          <w:tcPr>
            <w:tcW w:w="45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农村危房改造</w:t>
            </w:r>
          </w:p>
        </w:tc>
        <w:tc>
          <w:tcPr>
            <w:tcW w:w="16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8.50</w:t>
            </w:r>
          </w:p>
        </w:tc>
        <w:tc>
          <w:tcPr>
            <w:tcW w:w="14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8.50</w:t>
            </w:r>
          </w:p>
        </w:tc>
        <w:tc>
          <w:tcPr>
            <w:tcW w:w="9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c>
          <w:tcPr>
            <w:tcW w:w="9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c>
          <w:tcPr>
            <w:tcW w:w="98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c>
          <w:tcPr>
            <w:tcW w:w="16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r>
      <w:tr>
        <w:tblPrEx>
          <w:tblCellMar>
            <w:top w:w="0" w:type="dxa"/>
            <w:left w:w="0" w:type="dxa"/>
            <w:bottom w:w="0" w:type="dxa"/>
            <w:right w:w="0" w:type="dxa"/>
          </w:tblCellMar>
        </w:tblPrEx>
        <w:trPr>
          <w:trHeight w:val="308" w:hRule="atLeast"/>
        </w:trPr>
        <w:tc>
          <w:tcPr>
            <w:tcW w:w="872"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2210108</w:t>
            </w:r>
          </w:p>
        </w:tc>
        <w:tc>
          <w:tcPr>
            <w:tcW w:w="45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老旧小区改造</w:t>
            </w:r>
          </w:p>
        </w:tc>
        <w:tc>
          <w:tcPr>
            <w:tcW w:w="16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230.00</w:t>
            </w:r>
          </w:p>
        </w:tc>
        <w:tc>
          <w:tcPr>
            <w:tcW w:w="14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230.00</w:t>
            </w:r>
          </w:p>
        </w:tc>
        <w:tc>
          <w:tcPr>
            <w:tcW w:w="9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c>
          <w:tcPr>
            <w:tcW w:w="9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c>
          <w:tcPr>
            <w:tcW w:w="98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c>
          <w:tcPr>
            <w:tcW w:w="16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r>
      <w:tr>
        <w:tblPrEx>
          <w:tblCellMar>
            <w:top w:w="0" w:type="dxa"/>
            <w:left w:w="0" w:type="dxa"/>
            <w:bottom w:w="0" w:type="dxa"/>
            <w:right w:w="0" w:type="dxa"/>
          </w:tblCellMar>
        </w:tblPrEx>
        <w:trPr>
          <w:trHeight w:val="308" w:hRule="atLeast"/>
        </w:trPr>
        <w:tc>
          <w:tcPr>
            <w:tcW w:w="13988" w:type="dxa"/>
            <w:gridSpan w:val="11"/>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注：本表反映部门本年度取得的各项收入情况。</w:t>
            </w:r>
          </w:p>
        </w:tc>
      </w:tr>
    </w:tbl>
    <w:p>
      <w:pPr>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pStyle w:val="2"/>
        <w:ind w:left="0" w:leftChars="0" w:firstLine="0" w:firstLineChars="0"/>
        <w:jc w:val="both"/>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129"/>
        <w:gridCol w:w="2452"/>
        <w:gridCol w:w="1446"/>
        <w:gridCol w:w="1164"/>
        <w:gridCol w:w="1978"/>
        <w:gridCol w:w="1237"/>
        <w:gridCol w:w="1233"/>
        <w:gridCol w:w="2138"/>
        <w:gridCol w:w="12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3988" w:type="dxa"/>
            <w:gridSpan w:val="9"/>
            <w:tcBorders>
              <w:top w:val="nil"/>
              <w:left w:val="nil"/>
              <w:bottom w:val="nil"/>
              <w:right w:val="nil"/>
            </w:tcBorders>
            <w:noWrap w:val="0"/>
            <w:tcMar>
              <w:top w:w="15" w:type="dxa"/>
              <w:left w:w="15" w:type="dxa"/>
              <w:right w:w="15" w:type="dxa"/>
            </w:tcMar>
            <w:vAlign w:val="center"/>
          </w:tcPr>
          <w:tbl>
            <w:tblPr>
              <w:tblStyle w:val="10"/>
              <w:tblW w:w="13988" w:type="dxa"/>
              <w:tblInd w:w="0" w:type="dxa"/>
              <w:tblLayout w:type="autofit"/>
              <w:tblCellMar>
                <w:top w:w="0" w:type="dxa"/>
                <w:left w:w="0" w:type="dxa"/>
                <w:bottom w:w="0" w:type="dxa"/>
                <w:right w:w="0" w:type="dxa"/>
              </w:tblCellMar>
            </w:tblPr>
            <w:tblGrid>
              <w:gridCol w:w="69"/>
              <w:gridCol w:w="70"/>
              <w:gridCol w:w="744"/>
              <w:gridCol w:w="4445"/>
              <w:gridCol w:w="1652"/>
              <w:gridCol w:w="1487"/>
              <w:gridCol w:w="1609"/>
              <w:gridCol w:w="1000"/>
              <w:gridCol w:w="983"/>
              <w:gridCol w:w="1929"/>
            </w:tblGrid>
            <w:tr>
              <w:tblPrEx>
                <w:tblCellMar>
                  <w:top w:w="0" w:type="dxa"/>
                  <w:left w:w="0" w:type="dxa"/>
                  <w:bottom w:w="0" w:type="dxa"/>
                  <w:right w:w="0" w:type="dxa"/>
                </w:tblCellMar>
              </w:tblPrEx>
              <w:trPr>
                <w:trHeight w:val="708" w:hRule="atLeast"/>
              </w:trPr>
              <w:tc>
                <w:tcPr>
                  <w:tcW w:w="13988" w:type="dxa"/>
                  <w:gridSpan w:val="10"/>
                  <w:tcBorders>
                    <w:top w:val="nil"/>
                    <w:left w:val="nil"/>
                    <w:bottom w:val="nil"/>
                    <w:right w:val="nil"/>
                  </w:tcBorders>
                  <w:noWrap w:val="0"/>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30"/>
                      <w:szCs w:val="30"/>
                      <w:highlight w:val="none"/>
                      <w:u w:val="none"/>
                      <w:lang w:val="en-US" w:eastAsia="zh-CN" w:bidi="ar"/>
                    </w:rPr>
                  </w:pPr>
                </w:p>
                <w:p>
                  <w:pPr>
                    <w:keepNext w:val="0"/>
                    <w:keepLines w:val="0"/>
                    <w:widowControl/>
                    <w:suppressLineNumbers w:val="0"/>
                    <w:jc w:val="center"/>
                    <w:textAlignment w:val="bottom"/>
                    <w:rPr>
                      <w:rFonts w:hint="eastAsia" w:ascii="宋体" w:hAnsi="宋体" w:eastAsia="宋体" w:cs="宋体"/>
                      <w:i w:val="0"/>
                      <w:color w:val="000000"/>
                      <w:sz w:val="30"/>
                      <w:szCs w:val="30"/>
                      <w:highlight w:val="none"/>
                      <w:u w:val="none"/>
                    </w:rPr>
                  </w:pPr>
                  <w:r>
                    <w:rPr>
                      <w:rFonts w:hint="eastAsia" w:ascii="宋体" w:hAnsi="宋体" w:eastAsia="宋体" w:cs="宋体"/>
                      <w:i w:val="0"/>
                      <w:color w:val="000000"/>
                      <w:kern w:val="0"/>
                      <w:sz w:val="30"/>
                      <w:szCs w:val="30"/>
                      <w:highlight w:val="none"/>
                      <w:u w:val="none"/>
                      <w:lang w:val="en-US" w:eastAsia="zh-CN" w:bidi="ar"/>
                    </w:rPr>
                    <w:t>支出决算表</w:t>
                  </w:r>
                </w:p>
              </w:tc>
            </w:tr>
            <w:tr>
              <w:tblPrEx>
                <w:tblCellMar>
                  <w:top w:w="0" w:type="dxa"/>
                  <w:left w:w="0" w:type="dxa"/>
                  <w:bottom w:w="0" w:type="dxa"/>
                  <w:right w:w="0" w:type="dxa"/>
                </w:tblCellMar>
              </w:tblPrEx>
              <w:trPr>
                <w:trHeight w:val="255" w:hRule="atLeast"/>
              </w:trPr>
              <w:tc>
                <w:tcPr>
                  <w:tcW w:w="69" w:type="dxa"/>
                  <w:tcBorders>
                    <w:top w:val="nil"/>
                    <w:left w:val="nil"/>
                    <w:bottom w:val="nil"/>
                    <w:right w:val="nil"/>
                  </w:tcBorders>
                  <w:noWrap w:val="0"/>
                  <w:tcMar>
                    <w:top w:w="15" w:type="dxa"/>
                    <w:left w:w="15" w:type="dxa"/>
                    <w:right w:w="15" w:type="dxa"/>
                  </w:tcMar>
                  <w:vAlign w:val="bottom"/>
                </w:tcPr>
                <w:p>
                  <w:pPr>
                    <w:rPr>
                      <w:rFonts w:hint="eastAsia" w:ascii="Arial" w:hAnsi="Arial" w:cs="Arial"/>
                      <w:i w:val="0"/>
                      <w:color w:val="000000"/>
                      <w:sz w:val="20"/>
                      <w:szCs w:val="20"/>
                      <w:highlight w:val="none"/>
                      <w:u w:val="none"/>
                    </w:rPr>
                  </w:pPr>
                </w:p>
              </w:tc>
              <w:tc>
                <w:tcPr>
                  <w:tcW w:w="70"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000000"/>
                      <w:sz w:val="20"/>
                      <w:szCs w:val="20"/>
                      <w:highlight w:val="none"/>
                      <w:u w:val="none"/>
                    </w:rPr>
                  </w:pPr>
                </w:p>
              </w:tc>
              <w:tc>
                <w:tcPr>
                  <w:tcW w:w="744"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000000"/>
                      <w:sz w:val="20"/>
                      <w:szCs w:val="20"/>
                      <w:highlight w:val="none"/>
                      <w:u w:val="none"/>
                    </w:rPr>
                  </w:pPr>
                </w:p>
              </w:tc>
              <w:tc>
                <w:tcPr>
                  <w:tcW w:w="4445"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000000"/>
                      <w:sz w:val="20"/>
                      <w:szCs w:val="20"/>
                      <w:highlight w:val="none"/>
                      <w:u w:val="none"/>
                    </w:rPr>
                  </w:pPr>
                </w:p>
              </w:tc>
              <w:tc>
                <w:tcPr>
                  <w:tcW w:w="1652"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000000"/>
                      <w:sz w:val="20"/>
                      <w:szCs w:val="20"/>
                      <w:highlight w:val="none"/>
                      <w:u w:val="none"/>
                    </w:rPr>
                  </w:pPr>
                </w:p>
              </w:tc>
              <w:tc>
                <w:tcPr>
                  <w:tcW w:w="1487"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000000"/>
                      <w:sz w:val="20"/>
                      <w:szCs w:val="20"/>
                      <w:highlight w:val="none"/>
                      <w:u w:val="none"/>
                    </w:rPr>
                  </w:pPr>
                </w:p>
              </w:tc>
              <w:tc>
                <w:tcPr>
                  <w:tcW w:w="1609"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000000"/>
                      <w:sz w:val="20"/>
                      <w:szCs w:val="20"/>
                      <w:highlight w:val="none"/>
                      <w:u w:val="none"/>
                    </w:rPr>
                  </w:pPr>
                </w:p>
              </w:tc>
              <w:tc>
                <w:tcPr>
                  <w:tcW w:w="1000"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000000"/>
                      <w:sz w:val="20"/>
                      <w:szCs w:val="20"/>
                      <w:highlight w:val="none"/>
                      <w:u w:val="none"/>
                    </w:rPr>
                  </w:pPr>
                </w:p>
              </w:tc>
              <w:tc>
                <w:tcPr>
                  <w:tcW w:w="983"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000000"/>
                      <w:sz w:val="20"/>
                      <w:szCs w:val="20"/>
                      <w:highlight w:val="none"/>
                      <w:u w:val="none"/>
                    </w:rPr>
                  </w:pPr>
                </w:p>
              </w:tc>
              <w:tc>
                <w:tcPr>
                  <w:tcW w:w="1929" w:type="dxa"/>
                  <w:tcBorders>
                    <w:top w:val="nil"/>
                    <w:left w:val="nil"/>
                    <w:bottom w:val="nil"/>
                    <w:right w:val="nil"/>
                  </w:tcBorders>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公开03表</w:t>
                  </w:r>
                </w:p>
              </w:tc>
            </w:tr>
            <w:tr>
              <w:tblPrEx>
                <w:tblCellMar>
                  <w:top w:w="0" w:type="dxa"/>
                  <w:left w:w="0" w:type="dxa"/>
                  <w:bottom w:w="0" w:type="dxa"/>
                  <w:right w:w="0" w:type="dxa"/>
                </w:tblCellMar>
              </w:tblPrEx>
              <w:trPr>
                <w:trHeight w:val="255" w:hRule="atLeast"/>
              </w:trPr>
              <w:tc>
                <w:tcPr>
                  <w:tcW w:w="5328" w:type="dxa"/>
                  <w:gridSpan w:val="4"/>
                  <w:tcBorders>
                    <w:top w:val="nil"/>
                    <w:left w:val="nil"/>
                    <w:bottom w:val="nil"/>
                    <w:right w:val="nil"/>
                  </w:tcBorders>
                  <w:noWrap w:val="0"/>
                  <w:tcMar>
                    <w:top w:w="15" w:type="dxa"/>
                    <w:left w:w="15" w:type="dxa"/>
                    <w:right w:w="15" w:type="dxa"/>
                  </w:tcMar>
                  <w:vAlign w:val="bottom"/>
                </w:tcPr>
                <w:p>
                  <w:pPr>
                    <w:keepNext w:val="0"/>
                    <w:keepLines w:val="0"/>
                    <w:widowControl/>
                    <w:suppressLineNumbers w:val="0"/>
                    <w:jc w:val="both"/>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部门：许昌市建安区住房和城乡建设局</w:t>
                  </w:r>
                  <w:r>
                    <w:rPr>
                      <w:rFonts w:hint="eastAsia" w:ascii="宋体" w:hAnsi="宋体" w:eastAsia="宋体" w:cs="宋体"/>
                      <w:i w:val="0"/>
                      <w:iCs w:val="0"/>
                      <w:color w:val="000000"/>
                      <w:kern w:val="0"/>
                      <w:sz w:val="20"/>
                      <w:szCs w:val="20"/>
                      <w:highlight w:val="none"/>
                      <w:u w:val="none"/>
                      <w:lang w:val="en-US" w:eastAsia="zh-CN" w:bidi="ar"/>
                    </w:rPr>
                    <w:t>（本级）</w:t>
                  </w:r>
                </w:p>
              </w:tc>
              <w:tc>
                <w:tcPr>
                  <w:tcW w:w="1652"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000000"/>
                      <w:sz w:val="20"/>
                      <w:szCs w:val="20"/>
                      <w:highlight w:val="none"/>
                      <w:u w:val="none"/>
                    </w:rPr>
                  </w:pPr>
                </w:p>
              </w:tc>
              <w:tc>
                <w:tcPr>
                  <w:tcW w:w="1487"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000000"/>
                      <w:sz w:val="20"/>
                      <w:szCs w:val="20"/>
                      <w:highlight w:val="none"/>
                      <w:u w:val="none"/>
                    </w:rPr>
                  </w:pPr>
                </w:p>
              </w:tc>
              <w:tc>
                <w:tcPr>
                  <w:tcW w:w="1609"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000000"/>
                      <w:sz w:val="20"/>
                      <w:szCs w:val="20"/>
                      <w:highlight w:val="none"/>
                      <w:u w:val="none"/>
                    </w:rPr>
                  </w:pPr>
                </w:p>
              </w:tc>
              <w:tc>
                <w:tcPr>
                  <w:tcW w:w="1000"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000000"/>
                      <w:sz w:val="20"/>
                      <w:szCs w:val="20"/>
                      <w:highlight w:val="none"/>
                      <w:u w:val="none"/>
                    </w:rPr>
                  </w:pPr>
                </w:p>
              </w:tc>
              <w:tc>
                <w:tcPr>
                  <w:tcW w:w="983"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000000"/>
                      <w:sz w:val="20"/>
                      <w:szCs w:val="20"/>
                      <w:highlight w:val="none"/>
                      <w:u w:val="none"/>
                    </w:rPr>
                  </w:pPr>
                </w:p>
              </w:tc>
              <w:tc>
                <w:tcPr>
                  <w:tcW w:w="1929" w:type="dxa"/>
                  <w:tcBorders>
                    <w:top w:val="nil"/>
                    <w:left w:val="nil"/>
                    <w:bottom w:val="nil"/>
                    <w:right w:val="nil"/>
                  </w:tcBorders>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金额单位：万元</w:t>
                  </w:r>
                </w:p>
              </w:tc>
            </w:tr>
            <w:tr>
              <w:tblPrEx>
                <w:tblCellMar>
                  <w:top w:w="0" w:type="dxa"/>
                  <w:left w:w="0" w:type="dxa"/>
                  <w:bottom w:w="0" w:type="dxa"/>
                  <w:right w:w="0" w:type="dxa"/>
                </w:tblCellMar>
              </w:tblPrEx>
              <w:trPr>
                <w:trHeight w:val="308" w:hRule="atLeast"/>
              </w:trPr>
              <w:tc>
                <w:tcPr>
                  <w:tcW w:w="5328" w:type="dxa"/>
                  <w:gridSpan w:val="4"/>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项目</w:t>
                  </w:r>
                </w:p>
              </w:tc>
              <w:tc>
                <w:tcPr>
                  <w:tcW w:w="1652" w:type="dxa"/>
                  <w:vMerge w:val="restart"/>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本年支出合计</w:t>
                  </w:r>
                </w:p>
              </w:tc>
              <w:tc>
                <w:tcPr>
                  <w:tcW w:w="1487" w:type="dxa"/>
                  <w:vMerge w:val="restart"/>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基本支出</w:t>
                  </w:r>
                </w:p>
              </w:tc>
              <w:tc>
                <w:tcPr>
                  <w:tcW w:w="1609" w:type="dxa"/>
                  <w:vMerge w:val="restart"/>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项目支出</w:t>
                  </w:r>
                </w:p>
              </w:tc>
              <w:tc>
                <w:tcPr>
                  <w:tcW w:w="1000" w:type="dxa"/>
                  <w:vMerge w:val="restart"/>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上缴上级支出</w:t>
                  </w:r>
                </w:p>
              </w:tc>
              <w:tc>
                <w:tcPr>
                  <w:tcW w:w="983" w:type="dxa"/>
                  <w:vMerge w:val="restart"/>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经营支出</w:t>
                  </w:r>
                </w:p>
              </w:tc>
              <w:tc>
                <w:tcPr>
                  <w:tcW w:w="1929" w:type="dxa"/>
                  <w:vMerge w:val="restart"/>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对附属单位补助支出</w:t>
                  </w:r>
                </w:p>
              </w:tc>
            </w:tr>
            <w:tr>
              <w:tblPrEx>
                <w:tblCellMar>
                  <w:top w:w="0" w:type="dxa"/>
                  <w:left w:w="0" w:type="dxa"/>
                  <w:bottom w:w="0" w:type="dxa"/>
                  <w:right w:w="0" w:type="dxa"/>
                </w:tblCellMar>
              </w:tblPrEx>
              <w:trPr>
                <w:trHeight w:val="308" w:hRule="atLeast"/>
              </w:trPr>
              <w:tc>
                <w:tcPr>
                  <w:tcW w:w="883" w:type="dxa"/>
                  <w:gridSpan w:val="3"/>
                  <w:vMerge w:val="restart"/>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功能分类科目编码</w:t>
                  </w:r>
                </w:p>
              </w:tc>
              <w:tc>
                <w:tcPr>
                  <w:tcW w:w="4445" w:type="dxa"/>
                  <w:vMerge w:val="restart"/>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科目名称</w:t>
                  </w:r>
                </w:p>
              </w:tc>
              <w:tc>
                <w:tcPr>
                  <w:tcW w:w="1652" w:type="dxa"/>
                  <w:vMerge w:val="continue"/>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487" w:type="dxa"/>
                  <w:vMerge w:val="continue"/>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609" w:type="dxa"/>
                  <w:vMerge w:val="continue"/>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000" w:type="dxa"/>
                  <w:vMerge w:val="continue"/>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983" w:type="dxa"/>
                  <w:vMerge w:val="continue"/>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929" w:type="dxa"/>
                  <w:vMerge w:val="continue"/>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308" w:hRule="atLeast"/>
              </w:trPr>
              <w:tc>
                <w:tcPr>
                  <w:tcW w:w="883" w:type="dxa"/>
                  <w:gridSpan w:val="3"/>
                  <w:vMerge w:val="continue"/>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4445" w:type="dxa"/>
                  <w:vMerge w:val="continue"/>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652" w:type="dxa"/>
                  <w:vMerge w:val="continue"/>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487" w:type="dxa"/>
                  <w:vMerge w:val="continue"/>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609" w:type="dxa"/>
                  <w:vMerge w:val="continue"/>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000" w:type="dxa"/>
                  <w:vMerge w:val="continue"/>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983" w:type="dxa"/>
                  <w:vMerge w:val="continue"/>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929" w:type="dxa"/>
                  <w:vMerge w:val="continue"/>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308" w:hRule="atLeast"/>
              </w:trPr>
              <w:tc>
                <w:tcPr>
                  <w:tcW w:w="883" w:type="dxa"/>
                  <w:gridSpan w:val="3"/>
                  <w:vMerge w:val="continue"/>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4445" w:type="dxa"/>
                  <w:vMerge w:val="continue"/>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652" w:type="dxa"/>
                  <w:vMerge w:val="continue"/>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487" w:type="dxa"/>
                  <w:vMerge w:val="continue"/>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609" w:type="dxa"/>
                  <w:vMerge w:val="continue"/>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000" w:type="dxa"/>
                  <w:vMerge w:val="continue"/>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983" w:type="dxa"/>
                  <w:vMerge w:val="continue"/>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929" w:type="dxa"/>
                  <w:vMerge w:val="continue"/>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308" w:hRule="atLeast"/>
              </w:trPr>
              <w:tc>
                <w:tcPr>
                  <w:tcW w:w="5328" w:type="dxa"/>
                  <w:gridSpan w:val="4"/>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栏次</w:t>
                  </w:r>
                </w:p>
              </w:tc>
              <w:tc>
                <w:tcPr>
                  <w:tcW w:w="1652"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w:t>
                  </w:r>
                </w:p>
              </w:tc>
              <w:tc>
                <w:tcPr>
                  <w:tcW w:w="1487"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w:t>
                  </w:r>
                </w:p>
              </w:tc>
              <w:tc>
                <w:tcPr>
                  <w:tcW w:w="1609"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w:t>
                  </w:r>
                </w:p>
              </w:tc>
              <w:tc>
                <w:tcPr>
                  <w:tcW w:w="100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w:t>
                  </w:r>
                </w:p>
              </w:tc>
              <w:tc>
                <w:tcPr>
                  <w:tcW w:w="983"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w:t>
                  </w:r>
                </w:p>
              </w:tc>
              <w:tc>
                <w:tcPr>
                  <w:tcW w:w="1929"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6</w:t>
                  </w:r>
                </w:p>
              </w:tc>
            </w:tr>
            <w:tr>
              <w:tblPrEx>
                <w:tblCellMar>
                  <w:top w:w="0" w:type="dxa"/>
                  <w:left w:w="0" w:type="dxa"/>
                  <w:bottom w:w="0" w:type="dxa"/>
                  <w:right w:w="0" w:type="dxa"/>
                </w:tblCellMar>
              </w:tblPrEx>
              <w:trPr>
                <w:trHeight w:val="308" w:hRule="atLeast"/>
              </w:trPr>
              <w:tc>
                <w:tcPr>
                  <w:tcW w:w="5328" w:type="dxa"/>
                  <w:gridSpan w:val="4"/>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合计</w:t>
                  </w:r>
                </w:p>
              </w:tc>
              <w:tc>
                <w:tcPr>
                  <w:tcW w:w="1652"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81,434.81</w:t>
                  </w:r>
                </w:p>
              </w:tc>
              <w:tc>
                <w:tcPr>
                  <w:tcW w:w="1487"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410.86</w:t>
                  </w:r>
                </w:p>
              </w:tc>
              <w:tc>
                <w:tcPr>
                  <w:tcW w:w="1609"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81,023.94</w:t>
                  </w:r>
                </w:p>
              </w:tc>
              <w:tc>
                <w:tcPr>
                  <w:tcW w:w="100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0.00</w:t>
                  </w:r>
                </w:p>
              </w:tc>
              <w:tc>
                <w:tcPr>
                  <w:tcW w:w="983"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0.00</w:t>
                  </w:r>
                </w:p>
              </w:tc>
              <w:tc>
                <w:tcPr>
                  <w:tcW w:w="1929"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0.00</w:t>
                  </w:r>
                </w:p>
              </w:tc>
            </w:tr>
            <w:tr>
              <w:tblPrEx>
                <w:tblCellMar>
                  <w:top w:w="0" w:type="dxa"/>
                  <w:left w:w="0" w:type="dxa"/>
                  <w:bottom w:w="0" w:type="dxa"/>
                  <w:right w:w="0" w:type="dxa"/>
                </w:tblCellMar>
              </w:tblPrEx>
              <w:trPr>
                <w:trHeight w:val="308" w:hRule="atLeast"/>
              </w:trPr>
              <w:tc>
                <w:tcPr>
                  <w:tcW w:w="883" w:type="dxa"/>
                  <w:gridSpan w:val="3"/>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w:t>
                  </w:r>
                </w:p>
              </w:tc>
              <w:tc>
                <w:tcPr>
                  <w:tcW w:w="444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社会保障和就业支出</w:t>
                  </w:r>
                </w:p>
              </w:tc>
              <w:tc>
                <w:tcPr>
                  <w:tcW w:w="1652"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42.91</w:t>
                  </w:r>
                </w:p>
              </w:tc>
              <w:tc>
                <w:tcPr>
                  <w:tcW w:w="1487"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42.91</w:t>
                  </w:r>
                </w:p>
              </w:tc>
              <w:tc>
                <w:tcPr>
                  <w:tcW w:w="1609"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100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c>
                <w:tcPr>
                  <w:tcW w:w="983"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c>
                <w:tcPr>
                  <w:tcW w:w="1929"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r>
            <w:tr>
              <w:tblPrEx>
                <w:tblCellMar>
                  <w:top w:w="0" w:type="dxa"/>
                  <w:left w:w="0" w:type="dxa"/>
                  <w:bottom w:w="0" w:type="dxa"/>
                  <w:right w:w="0" w:type="dxa"/>
                </w:tblCellMar>
              </w:tblPrEx>
              <w:trPr>
                <w:trHeight w:val="308" w:hRule="atLeast"/>
              </w:trPr>
              <w:tc>
                <w:tcPr>
                  <w:tcW w:w="883" w:type="dxa"/>
                  <w:gridSpan w:val="3"/>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w:t>
                  </w:r>
                </w:p>
              </w:tc>
              <w:tc>
                <w:tcPr>
                  <w:tcW w:w="444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行政事业单位养老支出</w:t>
                  </w:r>
                </w:p>
              </w:tc>
              <w:tc>
                <w:tcPr>
                  <w:tcW w:w="1652"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42.91</w:t>
                  </w:r>
                </w:p>
              </w:tc>
              <w:tc>
                <w:tcPr>
                  <w:tcW w:w="1487"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42.91</w:t>
                  </w:r>
                </w:p>
              </w:tc>
              <w:tc>
                <w:tcPr>
                  <w:tcW w:w="1609"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100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c>
                <w:tcPr>
                  <w:tcW w:w="983"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c>
                <w:tcPr>
                  <w:tcW w:w="1929"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r>
            <w:tr>
              <w:tblPrEx>
                <w:tblCellMar>
                  <w:top w:w="0" w:type="dxa"/>
                  <w:left w:w="0" w:type="dxa"/>
                  <w:bottom w:w="0" w:type="dxa"/>
                  <w:right w:w="0" w:type="dxa"/>
                </w:tblCellMar>
              </w:tblPrEx>
              <w:trPr>
                <w:trHeight w:val="308" w:hRule="atLeast"/>
              </w:trPr>
              <w:tc>
                <w:tcPr>
                  <w:tcW w:w="883"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2080501</w:t>
                  </w:r>
                </w:p>
              </w:tc>
              <w:tc>
                <w:tcPr>
                  <w:tcW w:w="444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行政单位离退休</w:t>
                  </w:r>
                </w:p>
              </w:tc>
              <w:tc>
                <w:tcPr>
                  <w:tcW w:w="1652"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42.91</w:t>
                  </w:r>
                </w:p>
              </w:tc>
              <w:tc>
                <w:tcPr>
                  <w:tcW w:w="1487"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42.91</w:t>
                  </w:r>
                </w:p>
              </w:tc>
              <w:tc>
                <w:tcPr>
                  <w:tcW w:w="1609"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100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c>
                <w:tcPr>
                  <w:tcW w:w="98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c>
                <w:tcPr>
                  <w:tcW w:w="1929"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r>
            <w:tr>
              <w:tblPrEx>
                <w:tblCellMar>
                  <w:top w:w="0" w:type="dxa"/>
                  <w:left w:w="0" w:type="dxa"/>
                  <w:bottom w:w="0" w:type="dxa"/>
                  <w:right w:w="0" w:type="dxa"/>
                </w:tblCellMar>
              </w:tblPrEx>
              <w:trPr>
                <w:trHeight w:val="308" w:hRule="atLeast"/>
              </w:trPr>
              <w:tc>
                <w:tcPr>
                  <w:tcW w:w="883"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212</w:t>
                  </w:r>
                </w:p>
              </w:tc>
              <w:tc>
                <w:tcPr>
                  <w:tcW w:w="444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城乡社区支出</w:t>
                  </w:r>
                </w:p>
              </w:tc>
              <w:tc>
                <w:tcPr>
                  <w:tcW w:w="1652"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81,153.40</w:t>
                  </w:r>
                </w:p>
              </w:tc>
              <w:tc>
                <w:tcPr>
                  <w:tcW w:w="1487"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367.96</w:t>
                  </w:r>
                </w:p>
              </w:tc>
              <w:tc>
                <w:tcPr>
                  <w:tcW w:w="1609"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80,785.44</w:t>
                  </w:r>
                </w:p>
              </w:tc>
              <w:tc>
                <w:tcPr>
                  <w:tcW w:w="100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c>
                <w:tcPr>
                  <w:tcW w:w="98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c>
                <w:tcPr>
                  <w:tcW w:w="1929"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r>
            <w:tr>
              <w:tblPrEx>
                <w:tblCellMar>
                  <w:top w:w="0" w:type="dxa"/>
                  <w:left w:w="0" w:type="dxa"/>
                  <w:bottom w:w="0" w:type="dxa"/>
                  <w:right w:w="0" w:type="dxa"/>
                </w:tblCellMar>
              </w:tblPrEx>
              <w:trPr>
                <w:trHeight w:val="308" w:hRule="atLeast"/>
              </w:trPr>
              <w:tc>
                <w:tcPr>
                  <w:tcW w:w="883"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21201</w:t>
                  </w:r>
                </w:p>
              </w:tc>
              <w:tc>
                <w:tcPr>
                  <w:tcW w:w="444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城乡社区管理事务</w:t>
                  </w:r>
                </w:p>
              </w:tc>
              <w:tc>
                <w:tcPr>
                  <w:tcW w:w="1652"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367.96</w:t>
                  </w:r>
                </w:p>
              </w:tc>
              <w:tc>
                <w:tcPr>
                  <w:tcW w:w="1487"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367.96</w:t>
                  </w:r>
                </w:p>
              </w:tc>
              <w:tc>
                <w:tcPr>
                  <w:tcW w:w="1609"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100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c>
                <w:tcPr>
                  <w:tcW w:w="98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c>
                <w:tcPr>
                  <w:tcW w:w="1929"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r>
            <w:tr>
              <w:tblPrEx>
                <w:tblCellMar>
                  <w:top w:w="0" w:type="dxa"/>
                  <w:left w:w="0" w:type="dxa"/>
                  <w:bottom w:w="0" w:type="dxa"/>
                  <w:right w:w="0" w:type="dxa"/>
                </w:tblCellMar>
              </w:tblPrEx>
              <w:trPr>
                <w:trHeight w:val="308" w:hRule="atLeast"/>
              </w:trPr>
              <w:tc>
                <w:tcPr>
                  <w:tcW w:w="883"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2120101</w:t>
                  </w:r>
                </w:p>
              </w:tc>
              <w:tc>
                <w:tcPr>
                  <w:tcW w:w="444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行政运行</w:t>
                  </w:r>
                </w:p>
              </w:tc>
              <w:tc>
                <w:tcPr>
                  <w:tcW w:w="1652"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367.96</w:t>
                  </w:r>
                </w:p>
              </w:tc>
              <w:tc>
                <w:tcPr>
                  <w:tcW w:w="1487"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367.96</w:t>
                  </w:r>
                </w:p>
              </w:tc>
              <w:tc>
                <w:tcPr>
                  <w:tcW w:w="1609"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100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c>
                <w:tcPr>
                  <w:tcW w:w="98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c>
                <w:tcPr>
                  <w:tcW w:w="1929"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r>
            <w:tr>
              <w:tblPrEx>
                <w:tblCellMar>
                  <w:top w:w="0" w:type="dxa"/>
                  <w:left w:w="0" w:type="dxa"/>
                  <w:bottom w:w="0" w:type="dxa"/>
                  <w:right w:w="0" w:type="dxa"/>
                </w:tblCellMar>
              </w:tblPrEx>
              <w:trPr>
                <w:trHeight w:val="308" w:hRule="atLeast"/>
              </w:trPr>
              <w:tc>
                <w:tcPr>
                  <w:tcW w:w="883"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21203</w:t>
                  </w:r>
                </w:p>
              </w:tc>
              <w:tc>
                <w:tcPr>
                  <w:tcW w:w="444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城乡社区公共设施</w:t>
                  </w:r>
                </w:p>
              </w:tc>
              <w:tc>
                <w:tcPr>
                  <w:tcW w:w="1652"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41,628.49</w:t>
                  </w:r>
                </w:p>
              </w:tc>
              <w:tc>
                <w:tcPr>
                  <w:tcW w:w="1487"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1609"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41,628.49</w:t>
                  </w:r>
                </w:p>
              </w:tc>
              <w:tc>
                <w:tcPr>
                  <w:tcW w:w="100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c>
                <w:tcPr>
                  <w:tcW w:w="98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c>
                <w:tcPr>
                  <w:tcW w:w="1929"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r>
            <w:tr>
              <w:tblPrEx>
                <w:tblCellMar>
                  <w:top w:w="0" w:type="dxa"/>
                  <w:left w:w="0" w:type="dxa"/>
                  <w:bottom w:w="0" w:type="dxa"/>
                  <w:right w:w="0" w:type="dxa"/>
                </w:tblCellMar>
              </w:tblPrEx>
              <w:trPr>
                <w:trHeight w:val="308" w:hRule="atLeast"/>
              </w:trPr>
              <w:tc>
                <w:tcPr>
                  <w:tcW w:w="883"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2120399</w:t>
                  </w:r>
                </w:p>
              </w:tc>
              <w:tc>
                <w:tcPr>
                  <w:tcW w:w="444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其他城乡社区公共设施支出</w:t>
                  </w:r>
                </w:p>
              </w:tc>
              <w:tc>
                <w:tcPr>
                  <w:tcW w:w="1652"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41,628.49</w:t>
                  </w:r>
                </w:p>
              </w:tc>
              <w:tc>
                <w:tcPr>
                  <w:tcW w:w="1487"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1609"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41,628.49</w:t>
                  </w:r>
                </w:p>
              </w:tc>
              <w:tc>
                <w:tcPr>
                  <w:tcW w:w="100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c>
                <w:tcPr>
                  <w:tcW w:w="98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c>
                <w:tcPr>
                  <w:tcW w:w="1929"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r>
            <w:tr>
              <w:tblPrEx>
                <w:tblCellMar>
                  <w:top w:w="0" w:type="dxa"/>
                  <w:left w:w="0" w:type="dxa"/>
                  <w:bottom w:w="0" w:type="dxa"/>
                  <w:right w:w="0" w:type="dxa"/>
                </w:tblCellMar>
              </w:tblPrEx>
              <w:trPr>
                <w:trHeight w:val="308" w:hRule="atLeast"/>
              </w:trPr>
              <w:tc>
                <w:tcPr>
                  <w:tcW w:w="883"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21208</w:t>
                  </w:r>
                </w:p>
              </w:tc>
              <w:tc>
                <w:tcPr>
                  <w:tcW w:w="444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国有土地使用权出让收入安排的支出</w:t>
                  </w:r>
                </w:p>
              </w:tc>
              <w:tc>
                <w:tcPr>
                  <w:tcW w:w="1652"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37,656.95</w:t>
                  </w:r>
                </w:p>
              </w:tc>
              <w:tc>
                <w:tcPr>
                  <w:tcW w:w="1487"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1609"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37,656.95</w:t>
                  </w:r>
                </w:p>
              </w:tc>
              <w:tc>
                <w:tcPr>
                  <w:tcW w:w="100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c>
                <w:tcPr>
                  <w:tcW w:w="98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c>
                <w:tcPr>
                  <w:tcW w:w="1929"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r>
            <w:tr>
              <w:tblPrEx>
                <w:tblCellMar>
                  <w:top w:w="0" w:type="dxa"/>
                  <w:left w:w="0" w:type="dxa"/>
                  <w:bottom w:w="0" w:type="dxa"/>
                  <w:right w:w="0" w:type="dxa"/>
                </w:tblCellMar>
              </w:tblPrEx>
              <w:trPr>
                <w:trHeight w:val="308" w:hRule="atLeast"/>
              </w:trPr>
              <w:tc>
                <w:tcPr>
                  <w:tcW w:w="883"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2120899</w:t>
                  </w:r>
                </w:p>
              </w:tc>
              <w:tc>
                <w:tcPr>
                  <w:tcW w:w="444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其他国有土地使用权出让收入安排的支出</w:t>
                  </w:r>
                </w:p>
              </w:tc>
              <w:tc>
                <w:tcPr>
                  <w:tcW w:w="1652"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37,656.95</w:t>
                  </w:r>
                </w:p>
              </w:tc>
              <w:tc>
                <w:tcPr>
                  <w:tcW w:w="1487"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1609"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37,656.95</w:t>
                  </w:r>
                </w:p>
              </w:tc>
              <w:tc>
                <w:tcPr>
                  <w:tcW w:w="100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c>
                <w:tcPr>
                  <w:tcW w:w="98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c>
                <w:tcPr>
                  <w:tcW w:w="1929"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r>
            <w:tr>
              <w:tblPrEx>
                <w:tblCellMar>
                  <w:top w:w="0" w:type="dxa"/>
                  <w:left w:w="0" w:type="dxa"/>
                  <w:bottom w:w="0" w:type="dxa"/>
                  <w:right w:w="0" w:type="dxa"/>
                </w:tblCellMar>
              </w:tblPrEx>
              <w:trPr>
                <w:trHeight w:val="308" w:hRule="atLeast"/>
              </w:trPr>
              <w:tc>
                <w:tcPr>
                  <w:tcW w:w="883"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21213</w:t>
                  </w:r>
                </w:p>
              </w:tc>
              <w:tc>
                <w:tcPr>
                  <w:tcW w:w="444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城市基础设施配套费安排的支出</w:t>
                  </w:r>
                </w:p>
              </w:tc>
              <w:tc>
                <w:tcPr>
                  <w:tcW w:w="1652"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500.00</w:t>
                  </w:r>
                </w:p>
              </w:tc>
              <w:tc>
                <w:tcPr>
                  <w:tcW w:w="1487"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1609"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500.00</w:t>
                  </w:r>
                </w:p>
              </w:tc>
              <w:tc>
                <w:tcPr>
                  <w:tcW w:w="100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c>
                <w:tcPr>
                  <w:tcW w:w="98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c>
                <w:tcPr>
                  <w:tcW w:w="1929"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r>
            <w:tr>
              <w:tblPrEx>
                <w:tblCellMar>
                  <w:top w:w="0" w:type="dxa"/>
                  <w:left w:w="0" w:type="dxa"/>
                  <w:bottom w:w="0" w:type="dxa"/>
                  <w:right w:w="0" w:type="dxa"/>
                </w:tblCellMar>
              </w:tblPrEx>
              <w:trPr>
                <w:trHeight w:val="308" w:hRule="atLeast"/>
              </w:trPr>
              <w:tc>
                <w:tcPr>
                  <w:tcW w:w="883"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2121301</w:t>
                  </w:r>
                </w:p>
              </w:tc>
              <w:tc>
                <w:tcPr>
                  <w:tcW w:w="444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城市公共设施</w:t>
                  </w:r>
                </w:p>
              </w:tc>
              <w:tc>
                <w:tcPr>
                  <w:tcW w:w="1652"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500.00</w:t>
                  </w:r>
                </w:p>
              </w:tc>
              <w:tc>
                <w:tcPr>
                  <w:tcW w:w="1487"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1609"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500.00</w:t>
                  </w:r>
                </w:p>
              </w:tc>
              <w:tc>
                <w:tcPr>
                  <w:tcW w:w="100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c>
                <w:tcPr>
                  <w:tcW w:w="98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c>
                <w:tcPr>
                  <w:tcW w:w="1929"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r>
            <w:tr>
              <w:tblPrEx>
                <w:tblCellMar>
                  <w:top w:w="0" w:type="dxa"/>
                  <w:left w:w="0" w:type="dxa"/>
                  <w:bottom w:w="0" w:type="dxa"/>
                  <w:right w:w="0" w:type="dxa"/>
                </w:tblCellMar>
              </w:tblPrEx>
              <w:trPr>
                <w:trHeight w:val="308" w:hRule="atLeast"/>
              </w:trPr>
              <w:tc>
                <w:tcPr>
                  <w:tcW w:w="883"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21216</w:t>
                  </w:r>
                </w:p>
              </w:tc>
              <w:tc>
                <w:tcPr>
                  <w:tcW w:w="444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棚户区改造专项债券收入安排的支出</w:t>
                  </w:r>
                </w:p>
              </w:tc>
              <w:tc>
                <w:tcPr>
                  <w:tcW w:w="1652"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1,000.00</w:t>
                  </w:r>
                </w:p>
              </w:tc>
              <w:tc>
                <w:tcPr>
                  <w:tcW w:w="1487"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1609"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1,000.00</w:t>
                  </w:r>
                </w:p>
              </w:tc>
              <w:tc>
                <w:tcPr>
                  <w:tcW w:w="100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c>
                <w:tcPr>
                  <w:tcW w:w="98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c>
                <w:tcPr>
                  <w:tcW w:w="1929"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r>
            <w:tr>
              <w:tblPrEx>
                <w:tblCellMar>
                  <w:top w:w="0" w:type="dxa"/>
                  <w:left w:w="0" w:type="dxa"/>
                  <w:bottom w:w="0" w:type="dxa"/>
                  <w:right w:w="0" w:type="dxa"/>
                </w:tblCellMar>
              </w:tblPrEx>
              <w:trPr>
                <w:trHeight w:val="308" w:hRule="atLeast"/>
              </w:trPr>
              <w:tc>
                <w:tcPr>
                  <w:tcW w:w="883" w:type="dxa"/>
                  <w:gridSpan w:val="3"/>
                  <w:tcBorders>
                    <w:top w:val="nil"/>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2121699</w:t>
                  </w:r>
                </w:p>
              </w:tc>
              <w:tc>
                <w:tcPr>
                  <w:tcW w:w="4445" w:type="dxa"/>
                  <w:tcBorders>
                    <w:top w:val="nil"/>
                    <w:left w:val="nil"/>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其他棚户区改造专项债券收入安排的支出</w:t>
                  </w:r>
                </w:p>
              </w:tc>
              <w:tc>
                <w:tcPr>
                  <w:tcW w:w="1652" w:type="dxa"/>
                  <w:tcBorders>
                    <w:top w:val="nil"/>
                    <w:left w:val="nil"/>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1,000.00</w:t>
                  </w:r>
                </w:p>
              </w:tc>
              <w:tc>
                <w:tcPr>
                  <w:tcW w:w="1487" w:type="dxa"/>
                  <w:tcBorders>
                    <w:top w:val="nil"/>
                    <w:left w:val="nil"/>
                    <w:bottom w:val="single" w:color="auto"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1609" w:type="dxa"/>
                  <w:tcBorders>
                    <w:top w:val="nil"/>
                    <w:left w:val="nil"/>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1,000.00</w:t>
                  </w:r>
                </w:p>
              </w:tc>
              <w:tc>
                <w:tcPr>
                  <w:tcW w:w="1000" w:type="dxa"/>
                  <w:tcBorders>
                    <w:top w:val="nil"/>
                    <w:left w:val="nil"/>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c>
                <w:tcPr>
                  <w:tcW w:w="983" w:type="dxa"/>
                  <w:tcBorders>
                    <w:top w:val="nil"/>
                    <w:left w:val="nil"/>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c>
                <w:tcPr>
                  <w:tcW w:w="1929" w:type="dxa"/>
                  <w:tcBorders>
                    <w:top w:val="nil"/>
                    <w:left w:val="nil"/>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r>
            <w:tr>
              <w:tblPrEx>
                <w:tblCellMar>
                  <w:top w:w="0" w:type="dxa"/>
                  <w:left w:w="0" w:type="dxa"/>
                  <w:bottom w:w="0" w:type="dxa"/>
                  <w:right w:w="0" w:type="dxa"/>
                </w:tblCellMar>
              </w:tblPrEx>
              <w:trPr>
                <w:trHeight w:val="308" w:hRule="atLeast"/>
              </w:trPr>
              <w:tc>
                <w:tcPr>
                  <w:tcW w:w="883"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221</w:t>
                  </w:r>
                </w:p>
              </w:tc>
              <w:tc>
                <w:tcPr>
                  <w:tcW w:w="44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住房保障支出</w:t>
                  </w:r>
                </w:p>
              </w:tc>
              <w:tc>
                <w:tcPr>
                  <w:tcW w:w="16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238.50</w:t>
                  </w:r>
                </w:p>
              </w:tc>
              <w:tc>
                <w:tcPr>
                  <w:tcW w:w="148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160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238.50</w:t>
                  </w:r>
                </w:p>
              </w:tc>
              <w:tc>
                <w:tcPr>
                  <w:tcW w:w="10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c>
                <w:tcPr>
                  <w:tcW w:w="98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c>
                <w:tcPr>
                  <w:tcW w:w="192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r>
            <w:tr>
              <w:tblPrEx>
                <w:tblCellMar>
                  <w:top w:w="0" w:type="dxa"/>
                  <w:left w:w="0" w:type="dxa"/>
                  <w:bottom w:w="0" w:type="dxa"/>
                  <w:right w:w="0" w:type="dxa"/>
                </w:tblCellMar>
              </w:tblPrEx>
              <w:trPr>
                <w:trHeight w:val="308" w:hRule="atLeast"/>
              </w:trPr>
              <w:tc>
                <w:tcPr>
                  <w:tcW w:w="883"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22101</w:t>
                  </w:r>
                </w:p>
              </w:tc>
              <w:tc>
                <w:tcPr>
                  <w:tcW w:w="44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保障性安居工程支出</w:t>
                  </w:r>
                </w:p>
              </w:tc>
              <w:tc>
                <w:tcPr>
                  <w:tcW w:w="16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238.50</w:t>
                  </w:r>
                </w:p>
              </w:tc>
              <w:tc>
                <w:tcPr>
                  <w:tcW w:w="148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160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238.50</w:t>
                  </w:r>
                </w:p>
              </w:tc>
              <w:tc>
                <w:tcPr>
                  <w:tcW w:w="10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c>
                <w:tcPr>
                  <w:tcW w:w="98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c>
                <w:tcPr>
                  <w:tcW w:w="192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r>
            <w:tr>
              <w:tblPrEx>
                <w:tblCellMar>
                  <w:top w:w="0" w:type="dxa"/>
                  <w:left w:w="0" w:type="dxa"/>
                  <w:bottom w:w="0" w:type="dxa"/>
                  <w:right w:w="0" w:type="dxa"/>
                </w:tblCellMar>
              </w:tblPrEx>
              <w:trPr>
                <w:trHeight w:val="308" w:hRule="atLeast"/>
              </w:trPr>
              <w:tc>
                <w:tcPr>
                  <w:tcW w:w="883"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2210105</w:t>
                  </w:r>
                </w:p>
              </w:tc>
              <w:tc>
                <w:tcPr>
                  <w:tcW w:w="44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农村危房改造</w:t>
                  </w:r>
                </w:p>
              </w:tc>
              <w:tc>
                <w:tcPr>
                  <w:tcW w:w="16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8.50</w:t>
                  </w:r>
                </w:p>
              </w:tc>
              <w:tc>
                <w:tcPr>
                  <w:tcW w:w="148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160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8.50</w:t>
                  </w:r>
                </w:p>
              </w:tc>
              <w:tc>
                <w:tcPr>
                  <w:tcW w:w="10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c>
                <w:tcPr>
                  <w:tcW w:w="98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c>
                <w:tcPr>
                  <w:tcW w:w="192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r>
            <w:tr>
              <w:tblPrEx>
                <w:tblCellMar>
                  <w:top w:w="0" w:type="dxa"/>
                  <w:left w:w="0" w:type="dxa"/>
                  <w:bottom w:w="0" w:type="dxa"/>
                  <w:right w:w="0" w:type="dxa"/>
                </w:tblCellMar>
              </w:tblPrEx>
              <w:trPr>
                <w:trHeight w:val="308" w:hRule="atLeast"/>
              </w:trPr>
              <w:tc>
                <w:tcPr>
                  <w:tcW w:w="883"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2210108</w:t>
                  </w:r>
                </w:p>
              </w:tc>
              <w:tc>
                <w:tcPr>
                  <w:tcW w:w="44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老旧小区改造</w:t>
                  </w:r>
                </w:p>
              </w:tc>
              <w:tc>
                <w:tcPr>
                  <w:tcW w:w="16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230.00</w:t>
                  </w:r>
                </w:p>
              </w:tc>
              <w:tc>
                <w:tcPr>
                  <w:tcW w:w="148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160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230.00</w:t>
                  </w:r>
                </w:p>
              </w:tc>
              <w:tc>
                <w:tcPr>
                  <w:tcW w:w="10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c>
                <w:tcPr>
                  <w:tcW w:w="98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c>
                <w:tcPr>
                  <w:tcW w:w="192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r>
            <w:tr>
              <w:tblPrEx>
                <w:tblCellMar>
                  <w:top w:w="0" w:type="dxa"/>
                  <w:left w:w="0" w:type="dxa"/>
                  <w:bottom w:w="0" w:type="dxa"/>
                  <w:right w:w="0" w:type="dxa"/>
                </w:tblCellMar>
              </w:tblPrEx>
              <w:trPr>
                <w:trHeight w:val="308" w:hRule="atLeast"/>
              </w:trPr>
              <w:tc>
                <w:tcPr>
                  <w:tcW w:w="13988" w:type="dxa"/>
                  <w:gridSpan w:val="10"/>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highlight w:val="none"/>
                    </w:rPr>
                  </w:pPr>
                  <w:r>
                    <w:rPr>
                      <w:rFonts w:hint="eastAsia"/>
                      <w:highlight w:val="none"/>
                      <w:lang w:val="en-US" w:eastAsia="zh-CN"/>
                    </w:rPr>
                    <w:t>注：本表反映部门本年度各项支出情况。</w:t>
                  </w:r>
                </w:p>
              </w:tc>
            </w:tr>
          </w:tbl>
          <w:p>
            <w:pPr>
              <w:keepNext w:val="0"/>
              <w:keepLines w:val="0"/>
              <w:widowControl/>
              <w:suppressLineNumbers w:val="0"/>
              <w:jc w:val="both"/>
              <w:textAlignment w:val="center"/>
              <w:rPr>
                <w:rFonts w:hint="eastAsia" w:ascii="华文中宋" w:hAnsi="华文中宋" w:eastAsia="华文中宋" w:cs="华文中宋"/>
                <w:i w:val="0"/>
                <w:color w:val="000000"/>
                <w:kern w:val="0"/>
                <w:sz w:val="32"/>
                <w:szCs w:val="32"/>
                <w:highlight w:val="none"/>
                <w:u w:val="none"/>
                <w:lang w:val="en-US" w:eastAsia="zh-CN" w:bidi="ar"/>
              </w:rPr>
            </w:pPr>
          </w:p>
          <w:p>
            <w:pPr>
              <w:pStyle w:val="2"/>
              <w:rPr>
                <w:rFonts w:hint="eastAsia" w:ascii="华文中宋" w:hAnsi="华文中宋" w:eastAsia="华文中宋" w:cs="华文中宋"/>
                <w:i w:val="0"/>
                <w:color w:val="000000"/>
                <w:kern w:val="0"/>
                <w:sz w:val="32"/>
                <w:szCs w:val="32"/>
                <w:highlight w:val="none"/>
                <w:u w:val="none"/>
                <w:lang w:val="en-US" w:eastAsia="zh-CN" w:bidi="ar"/>
              </w:rPr>
            </w:pPr>
          </w:p>
          <w:p>
            <w:pPr>
              <w:pStyle w:val="2"/>
              <w:rPr>
                <w:rFonts w:hint="eastAsia" w:ascii="华文中宋" w:hAnsi="华文中宋" w:eastAsia="华文中宋" w:cs="华文中宋"/>
                <w:i w:val="0"/>
                <w:color w:val="000000"/>
                <w:kern w:val="0"/>
                <w:sz w:val="32"/>
                <w:szCs w:val="32"/>
                <w:highlight w:val="none"/>
                <w:u w:val="none"/>
                <w:lang w:val="en-US" w:eastAsia="zh-CN" w:bidi="ar"/>
              </w:rPr>
            </w:pPr>
          </w:p>
          <w:p>
            <w:pPr>
              <w:pStyle w:val="2"/>
              <w:rPr>
                <w:rFonts w:hint="eastAsia" w:ascii="华文中宋" w:hAnsi="华文中宋" w:eastAsia="华文中宋" w:cs="华文中宋"/>
                <w:i w:val="0"/>
                <w:color w:val="000000"/>
                <w:kern w:val="0"/>
                <w:sz w:val="32"/>
                <w:szCs w:val="32"/>
                <w:highlight w:val="none"/>
                <w:u w:val="none"/>
                <w:lang w:val="en-US" w:eastAsia="zh-CN" w:bidi="ar"/>
              </w:rPr>
            </w:pPr>
          </w:p>
          <w:p>
            <w:pPr>
              <w:pStyle w:val="2"/>
              <w:rPr>
                <w:rFonts w:hint="eastAsia" w:ascii="华文中宋" w:hAnsi="华文中宋" w:eastAsia="华文中宋" w:cs="华文中宋"/>
                <w:i w:val="0"/>
                <w:color w:val="000000"/>
                <w:kern w:val="0"/>
                <w:sz w:val="32"/>
                <w:szCs w:val="32"/>
                <w:highlight w:val="none"/>
                <w:u w:val="none"/>
                <w:lang w:val="en-US" w:eastAsia="zh-CN" w:bidi="ar"/>
              </w:rPr>
            </w:pPr>
          </w:p>
          <w:p>
            <w:pPr>
              <w:pStyle w:val="2"/>
              <w:rPr>
                <w:rFonts w:hint="eastAsia" w:ascii="华文中宋" w:hAnsi="华文中宋" w:eastAsia="华文中宋" w:cs="华文中宋"/>
                <w:i w:val="0"/>
                <w:color w:val="000000"/>
                <w:kern w:val="0"/>
                <w:sz w:val="32"/>
                <w:szCs w:val="32"/>
                <w:highlight w:val="none"/>
                <w:u w:val="none"/>
                <w:lang w:val="en-US" w:eastAsia="zh-CN" w:bidi="ar"/>
              </w:rPr>
            </w:pPr>
          </w:p>
          <w:p>
            <w:pPr>
              <w:pStyle w:val="2"/>
              <w:rPr>
                <w:rFonts w:hint="eastAsia" w:ascii="华文中宋" w:hAnsi="华文中宋" w:eastAsia="华文中宋" w:cs="华文中宋"/>
                <w:i w:val="0"/>
                <w:color w:val="000000"/>
                <w:kern w:val="0"/>
                <w:sz w:val="32"/>
                <w:szCs w:val="32"/>
                <w:highlight w:val="none"/>
                <w:u w:val="none"/>
                <w:lang w:val="en-US" w:eastAsia="zh-CN" w:bidi="ar"/>
              </w:rPr>
            </w:pPr>
          </w:p>
          <w:p>
            <w:pPr>
              <w:pStyle w:val="2"/>
              <w:rPr>
                <w:rFonts w:hint="eastAsia" w:ascii="华文中宋" w:hAnsi="华文中宋" w:eastAsia="华文中宋" w:cs="华文中宋"/>
                <w:i w:val="0"/>
                <w:color w:val="000000"/>
                <w:kern w:val="0"/>
                <w:sz w:val="32"/>
                <w:szCs w:val="32"/>
                <w:highlight w:val="none"/>
                <w:u w:val="none"/>
                <w:lang w:val="en-US" w:eastAsia="zh-CN" w:bidi="ar"/>
              </w:rPr>
            </w:pPr>
          </w:p>
          <w:p>
            <w:pPr>
              <w:pStyle w:val="2"/>
              <w:rPr>
                <w:rFonts w:hint="eastAsia" w:ascii="华文中宋" w:hAnsi="华文中宋" w:eastAsia="华文中宋" w:cs="华文中宋"/>
                <w:i w:val="0"/>
                <w:color w:val="000000"/>
                <w:kern w:val="0"/>
                <w:sz w:val="32"/>
                <w:szCs w:val="32"/>
                <w:highlight w:val="none"/>
                <w:u w:val="none"/>
                <w:lang w:val="en-US" w:eastAsia="zh-CN" w:bidi="ar"/>
              </w:rPr>
            </w:pPr>
          </w:p>
          <w:p>
            <w:pPr>
              <w:pStyle w:val="2"/>
              <w:ind w:left="0" w:leftChars="0" w:firstLine="0" w:firstLineChars="0"/>
              <w:jc w:val="both"/>
              <w:rPr>
                <w:rFonts w:hint="eastAsia"/>
                <w:highlight w:val="none"/>
                <w:lang w:val="en-US" w:eastAsia="zh-CN"/>
              </w:rPr>
            </w:pPr>
          </w:p>
          <w:p>
            <w:pPr>
              <w:keepNext w:val="0"/>
              <w:keepLines w:val="0"/>
              <w:widowControl/>
              <w:suppressLineNumbers w:val="0"/>
              <w:jc w:val="center"/>
              <w:textAlignment w:val="center"/>
              <w:rPr>
                <w:rFonts w:ascii="华文中宋" w:hAnsi="华文中宋" w:eastAsia="华文中宋" w:cs="华文中宋"/>
                <w:i w:val="0"/>
                <w:color w:val="000000"/>
                <w:sz w:val="32"/>
                <w:szCs w:val="32"/>
                <w:highlight w:val="none"/>
                <w:u w:val="none"/>
              </w:rPr>
            </w:pPr>
            <w:r>
              <w:rPr>
                <w:rFonts w:hint="eastAsia" w:ascii="华文中宋" w:hAnsi="华文中宋" w:eastAsia="华文中宋" w:cs="华文中宋"/>
                <w:i w:val="0"/>
                <w:color w:val="000000"/>
                <w:kern w:val="0"/>
                <w:sz w:val="32"/>
                <w:szCs w:val="32"/>
                <w:highlight w:val="none"/>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3988" w:type="dxa"/>
            <w:gridSpan w:val="9"/>
            <w:tcBorders>
              <w:top w:val="nil"/>
              <w:left w:val="nil"/>
              <w:bottom w:val="nil"/>
              <w:right w:val="nil"/>
            </w:tcBorders>
            <w:shd w:val="clear" w:color="auto" w:fill="FFFFFF"/>
            <w:noWrap w:val="0"/>
            <w:tcMar>
              <w:top w:w="15" w:type="dxa"/>
              <w:left w:w="15" w:type="dxa"/>
              <w:right w:w="15" w:type="dxa"/>
            </w:tcMar>
            <w:vAlign w:val="center"/>
          </w:tcPr>
          <w:tbl>
            <w:tblPr>
              <w:tblStyle w:val="10"/>
              <w:tblW w:w="13847" w:type="dxa"/>
              <w:tblInd w:w="0" w:type="dxa"/>
              <w:tblLayout w:type="autofit"/>
              <w:tblCellMar>
                <w:top w:w="0" w:type="dxa"/>
                <w:left w:w="0" w:type="dxa"/>
                <w:bottom w:w="0" w:type="dxa"/>
                <w:right w:w="0" w:type="dxa"/>
              </w:tblCellMar>
            </w:tblPr>
            <w:tblGrid>
              <w:gridCol w:w="3430"/>
              <w:gridCol w:w="471"/>
              <w:gridCol w:w="1380"/>
              <w:gridCol w:w="3345"/>
              <w:gridCol w:w="471"/>
              <w:gridCol w:w="1020"/>
              <w:gridCol w:w="1410"/>
              <w:gridCol w:w="1115"/>
              <w:gridCol w:w="1205"/>
            </w:tblGrid>
            <w:tr>
              <w:tblPrEx>
                <w:tblCellMar>
                  <w:top w:w="0" w:type="dxa"/>
                  <w:left w:w="0" w:type="dxa"/>
                  <w:bottom w:w="0" w:type="dxa"/>
                  <w:right w:w="0" w:type="dxa"/>
                </w:tblCellMar>
              </w:tblPrEx>
              <w:trPr>
                <w:trHeight w:val="255" w:hRule="atLeast"/>
              </w:trPr>
              <w:tc>
                <w:tcPr>
                  <w:tcW w:w="3430" w:type="dxa"/>
                  <w:tcBorders>
                    <w:top w:val="nil"/>
                    <w:left w:val="nil"/>
                    <w:bottom w:val="nil"/>
                    <w:right w:val="nil"/>
                  </w:tcBorders>
                  <w:shd w:val="clear" w:color="auto" w:fill="FFFFFF"/>
                  <w:noWrap w:val="0"/>
                  <w:tcMar>
                    <w:top w:w="15" w:type="dxa"/>
                    <w:left w:w="15" w:type="dxa"/>
                    <w:right w:w="15" w:type="dxa"/>
                  </w:tcMar>
                  <w:vAlign w:val="bottom"/>
                </w:tcPr>
                <w:p>
                  <w:pPr>
                    <w:rPr>
                      <w:rFonts w:hint="eastAsia" w:ascii="Arial" w:hAnsi="Arial" w:cs="Arial"/>
                      <w:i w:val="0"/>
                      <w:color w:val="000000"/>
                      <w:sz w:val="20"/>
                      <w:szCs w:val="20"/>
                      <w:highlight w:val="none"/>
                      <w:u w:val="none"/>
                    </w:rPr>
                  </w:pPr>
                </w:p>
              </w:tc>
              <w:tc>
                <w:tcPr>
                  <w:tcW w:w="471" w:type="dxa"/>
                  <w:tcBorders>
                    <w:top w:val="nil"/>
                    <w:left w:val="nil"/>
                    <w:bottom w:val="nil"/>
                    <w:right w:val="nil"/>
                  </w:tcBorders>
                  <w:shd w:val="clear" w:color="auto" w:fill="FFFFFF"/>
                  <w:noWrap w:val="0"/>
                  <w:tcMar>
                    <w:top w:w="15" w:type="dxa"/>
                    <w:left w:w="15" w:type="dxa"/>
                    <w:right w:w="15" w:type="dxa"/>
                  </w:tcMar>
                  <w:vAlign w:val="bottom"/>
                </w:tcPr>
                <w:p>
                  <w:pPr>
                    <w:rPr>
                      <w:rFonts w:hint="default" w:ascii="Arial" w:hAnsi="Arial" w:cs="Arial"/>
                      <w:i w:val="0"/>
                      <w:color w:val="000000"/>
                      <w:sz w:val="20"/>
                      <w:szCs w:val="20"/>
                      <w:highlight w:val="none"/>
                      <w:u w:val="none"/>
                    </w:rPr>
                  </w:pPr>
                </w:p>
              </w:tc>
              <w:tc>
                <w:tcPr>
                  <w:tcW w:w="1380" w:type="dxa"/>
                  <w:tcBorders>
                    <w:top w:val="nil"/>
                    <w:left w:val="nil"/>
                    <w:bottom w:val="nil"/>
                    <w:right w:val="nil"/>
                  </w:tcBorders>
                  <w:shd w:val="clear" w:color="auto" w:fill="FFFFFF"/>
                  <w:noWrap w:val="0"/>
                  <w:tcMar>
                    <w:top w:w="15" w:type="dxa"/>
                    <w:left w:w="15" w:type="dxa"/>
                    <w:right w:w="15" w:type="dxa"/>
                  </w:tcMar>
                  <w:vAlign w:val="bottom"/>
                </w:tcPr>
                <w:p>
                  <w:pPr>
                    <w:rPr>
                      <w:rFonts w:hint="default" w:ascii="Arial" w:hAnsi="Arial" w:cs="Arial"/>
                      <w:i w:val="0"/>
                      <w:color w:val="000000"/>
                      <w:sz w:val="20"/>
                      <w:szCs w:val="20"/>
                      <w:highlight w:val="none"/>
                      <w:u w:val="none"/>
                    </w:rPr>
                  </w:pPr>
                </w:p>
              </w:tc>
              <w:tc>
                <w:tcPr>
                  <w:tcW w:w="3345" w:type="dxa"/>
                  <w:tcBorders>
                    <w:top w:val="nil"/>
                    <w:left w:val="nil"/>
                    <w:bottom w:val="nil"/>
                    <w:right w:val="nil"/>
                  </w:tcBorders>
                  <w:shd w:val="clear" w:color="auto" w:fill="FFFFFF"/>
                  <w:noWrap w:val="0"/>
                  <w:tcMar>
                    <w:top w:w="15" w:type="dxa"/>
                    <w:left w:w="15" w:type="dxa"/>
                    <w:right w:w="15" w:type="dxa"/>
                  </w:tcMar>
                  <w:vAlign w:val="bottom"/>
                </w:tcPr>
                <w:p>
                  <w:pPr>
                    <w:rPr>
                      <w:rFonts w:hint="default" w:ascii="Arial" w:hAnsi="Arial" w:cs="Arial"/>
                      <w:i w:val="0"/>
                      <w:color w:val="000000"/>
                      <w:sz w:val="20"/>
                      <w:szCs w:val="20"/>
                      <w:highlight w:val="none"/>
                      <w:u w:val="none"/>
                    </w:rPr>
                  </w:pPr>
                </w:p>
              </w:tc>
              <w:tc>
                <w:tcPr>
                  <w:tcW w:w="471" w:type="dxa"/>
                  <w:tcBorders>
                    <w:top w:val="nil"/>
                    <w:left w:val="nil"/>
                    <w:bottom w:val="nil"/>
                    <w:right w:val="nil"/>
                  </w:tcBorders>
                  <w:shd w:val="clear" w:color="auto" w:fill="FFFFFF"/>
                  <w:noWrap w:val="0"/>
                  <w:tcMar>
                    <w:top w:w="15" w:type="dxa"/>
                    <w:left w:w="15" w:type="dxa"/>
                    <w:right w:w="15" w:type="dxa"/>
                  </w:tcMar>
                  <w:vAlign w:val="bottom"/>
                </w:tcPr>
                <w:p>
                  <w:pPr>
                    <w:rPr>
                      <w:rFonts w:hint="default" w:ascii="Arial" w:hAnsi="Arial" w:cs="Arial"/>
                      <w:i w:val="0"/>
                      <w:color w:val="000000"/>
                      <w:sz w:val="20"/>
                      <w:szCs w:val="20"/>
                      <w:highlight w:val="none"/>
                      <w:u w:val="none"/>
                    </w:rPr>
                  </w:pPr>
                </w:p>
              </w:tc>
              <w:tc>
                <w:tcPr>
                  <w:tcW w:w="1020" w:type="dxa"/>
                  <w:tcBorders>
                    <w:top w:val="nil"/>
                    <w:left w:val="nil"/>
                    <w:bottom w:val="nil"/>
                    <w:right w:val="nil"/>
                  </w:tcBorders>
                  <w:shd w:val="clear" w:color="auto" w:fill="FFFFFF"/>
                  <w:noWrap w:val="0"/>
                  <w:tcMar>
                    <w:top w:w="15" w:type="dxa"/>
                    <w:left w:w="15" w:type="dxa"/>
                    <w:right w:w="15" w:type="dxa"/>
                  </w:tcMar>
                  <w:vAlign w:val="bottom"/>
                </w:tcPr>
                <w:p>
                  <w:pPr>
                    <w:rPr>
                      <w:rFonts w:hint="default" w:ascii="Arial" w:hAnsi="Arial" w:cs="Arial"/>
                      <w:i w:val="0"/>
                      <w:color w:val="000000"/>
                      <w:sz w:val="20"/>
                      <w:szCs w:val="20"/>
                      <w:highlight w:val="none"/>
                      <w:u w:val="none"/>
                    </w:rPr>
                  </w:pPr>
                </w:p>
              </w:tc>
              <w:tc>
                <w:tcPr>
                  <w:tcW w:w="1410" w:type="dxa"/>
                  <w:tcBorders>
                    <w:top w:val="nil"/>
                    <w:left w:val="nil"/>
                    <w:bottom w:val="nil"/>
                    <w:right w:val="nil"/>
                  </w:tcBorders>
                  <w:shd w:val="clear" w:color="auto" w:fill="FFFFFF"/>
                  <w:noWrap w:val="0"/>
                  <w:tcMar>
                    <w:top w:w="15" w:type="dxa"/>
                    <w:left w:w="15" w:type="dxa"/>
                    <w:right w:w="15" w:type="dxa"/>
                  </w:tcMar>
                  <w:vAlign w:val="bottom"/>
                </w:tcPr>
                <w:p>
                  <w:pPr>
                    <w:rPr>
                      <w:rFonts w:hint="default" w:ascii="Arial" w:hAnsi="Arial" w:cs="Arial"/>
                      <w:i w:val="0"/>
                      <w:color w:val="000000"/>
                      <w:sz w:val="20"/>
                      <w:szCs w:val="20"/>
                      <w:highlight w:val="none"/>
                      <w:u w:val="none"/>
                    </w:rPr>
                  </w:pPr>
                </w:p>
              </w:tc>
              <w:tc>
                <w:tcPr>
                  <w:tcW w:w="1115" w:type="dxa"/>
                  <w:tcBorders>
                    <w:top w:val="nil"/>
                    <w:left w:val="nil"/>
                    <w:bottom w:val="nil"/>
                    <w:right w:val="nil"/>
                  </w:tcBorders>
                  <w:shd w:val="clear" w:color="auto" w:fill="FFFFFF"/>
                  <w:noWrap w:val="0"/>
                  <w:tcMar>
                    <w:top w:w="15" w:type="dxa"/>
                    <w:left w:w="15" w:type="dxa"/>
                    <w:right w:w="15" w:type="dxa"/>
                  </w:tcMar>
                  <w:vAlign w:val="bottom"/>
                </w:tcPr>
                <w:p>
                  <w:pPr>
                    <w:rPr>
                      <w:rFonts w:hint="default" w:ascii="Arial" w:hAnsi="Arial" w:cs="Arial"/>
                      <w:i w:val="0"/>
                      <w:color w:val="000000"/>
                      <w:sz w:val="20"/>
                      <w:szCs w:val="20"/>
                      <w:highlight w:val="none"/>
                      <w:u w:val="none"/>
                    </w:rPr>
                  </w:pPr>
                </w:p>
              </w:tc>
              <w:tc>
                <w:tcPr>
                  <w:tcW w:w="1205" w:type="dxa"/>
                  <w:tcBorders>
                    <w:top w:val="nil"/>
                    <w:left w:val="nil"/>
                    <w:bottom w:val="nil"/>
                    <w:right w:val="nil"/>
                  </w:tcBorders>
                  <w:shd w:val="clear" w:color="auto" w:fill="FFFFFF"/>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公开04表</w:t>
                  </w:r>
                </w:p>
              </w:tc>
            </w:tr>
            <w:tr>
              <w:trPr>
                <w:trHeight w:val="255" w:hRule="atLeast"/>
              </w:trPr>
              <w:tc>
                <w:tcPr>
                  <w:tcW w:w="5281" w:type="dxa"/>
                  <w:gridSpan w:val="3"/>
                  <w:tcBorders>
                    <w:top w:val="nil"/>
                    <w:left w:val="nil"/>
                    <w:bottom w:val="nil"/>
                    <w:right w:val="nil"/>
                  </w:tcBorders>
                  <w:shd w:val="clear" w:color="auto" w:fill="FFFFFF"/>
                  <w:noWrap w:val="0"/>
                  <w:tcMar>
                    <w:top w:w="15" w:type="dxa"/>
                    <w:left w:w="15" w:type="dxa"/>
                    <w:right w:w="15" w:type="dxa"/>
                  </w:tcMar>
                  <w:vAlign w:val="bottom"/>
                </w:tcPr>
                <w:p>
                  <w:pPr>
                    <w:keepNext w:val="0"/>
                    <w:keepLines w:val="0"/>
                    <w:widowControl/>
                    <w:suppressLineNumbers w:val="0"/>
                    <w:jc w:val="left"/>
                    <w:textAlignment w:val="bottom"/>
                    <w:rPr>
                      <w:rFonts w:hint="default" w:ascii="Arial" w:hAnsi="Arial" w:cs="Arial"/>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部门：许昌市建安区住房和城乡建设局</w:t>
                  </w:r>
                  <w:r>
                    <w:rPr>
                      <w:rFonts w:hint="eastAsia" w:ascii="宋体" w:hAnsi="宋体" w:eastAsia="宋体" w:cs="宋体"/>
                      <w:i w:val="0"/>
                      <w:iCs w:val="0"/>
                      <w:color w:val="000000"/>
                      <w:kern w:val="0"/>
                      <w:sz w:val="20"/>
                      <w:szCs w:val="20"/>
                      <w:highlight w:val="none"/>
                      <w:u w:val="none"/>
                      <w:lang w:val="en-US" w:eastAsia="zh-CN" w:bidi="ar"/>
                    </w:rPr>
                    <w:t>（本级）</w:t>
                  </w:r>
                </w:p>
              </w:tc>
              <w:tc>
                <w:tcPr>
                  <w:tcW w:w="3345" w:type="dxa"/>
                  <w:tcBorders>
                    <w:top w:val="nil"/>
                    <w:left w:val="nil"/>
                    <w:bottom w:val="nil"/>
                    <w:right w:val="nil"/>
                  </w:tcBorders>
                  <w:shd w:val="clear" w:color="auto" w:fill="FFFFFF"/>
                  <w:noWrap w:val="0"/>
                  <w:tcMar>
                    <w:top w:w="15" w:type="dxa"/>
                    <w:left w:w="15" w:type="dxa"/>
                    <w:right w:w="15" w:type="dxa"/>
                  </w:tcMar>
                  <w:vAlign w:val="bottom"/>
                </w:tcPr>
                <w:p>
                  <w:pPr>
                    <w:rPr>
                      <w:rFonts w:hint="default" w:ascii="Arial" w:hAnsi="Arial" w:cs="Arial"/>
                      <w:i w:val="0"/>
                      <w:color w:val="000000"/>
                      <w:sz w:val="20"/>
                      <w:szCs w:val="20"/>
                      <w:highlight w:val="none"/>
                      <w:u w:val="none"/>
                    </w:rPr>
                  </w:pPr>
                </w:p>
              </w:tc>
              <w:tc>
                <w:tcPr>
                  <w:tcW w:w="471" w:type="dxa"/>
                  <w:tcBorders>
                    <w:top w:val="nil"/>
                    <w:left w:val="nil"/>
                    <w:bottom w:val="nil"/>
                    <w:right w:val="nil"/>
                  </w:tcBorders>
                  <w:shd w:val="clear" w:color="auto" w:fill="FFFFFF"/>
                  <w:noWrap w:val="0"/>
                  <w:tcMar>
                    <w:top w:w="15" w:type="dxa"/>
                    <w:left w:w="15" w:type="dxa"/>
                    <w:right w:w="15" w:type="dxa"/>
                  </w:tcMar>
                  <w:vAlign w:val="bottom"/>
                </w:tcPr>
                <w:p>
                  <w:pPr>
                    <w:rPr>
                      <w:rFonts w:hint="default" w:ascii="Arial" w:hAnsi="Arial" w:cs="Arial"/>
                      <w:i w:val="0"/>
                      <w:color w:val="000000"/>
                      <w:sz w:val="20"/>
                      <w:szCs w:val="20"/>
                      <w:highlight w:val="none"/>
                      <w:u w:val="none"/>
                    </w:rPr>
                  </w:pPr>
                </w:p>
              </w:tc>
              <w:tc>
                <w:tcPr>
                  <w:tcW w:w="1020" w:type="dxa"/>
                  <w:tcBorders>
                    <w:top w:val="nil"/>
                    <w:left w:val="nil"/>
                    <w:bottom w:val="nil"/>
                    <w:right w:val="nil"/>
                  </w:tcBorders>
                  <w:shd w:val="clear" w:color="auto" w:fill="FFFFFF"/>
                  <w:noWrap w:val="0"/>
                  <w:tcMar>
                    <w:top w:w="15" w:type="dxa"/>
                    <w:left w:w="15" w:type="dxa"/>
                    <w:right w:w="15" w:type="dxa"/>
                  </w:tcMar>
                  <w:vAlign w:val="bottom"/>
                </w:tcPr>
                <w:p>
                  <w:pPr>
                    <w:rPr>
                      <w:rFonts w:hint="default" w:ascii="Arial" w:hAnsi="Arial" w:cs="Arial"/>
                      <w:i w:val="0"/>
                      <w:color w:val="000000"/>
                      <w:sz w:val="20"/>
                      <w:szCs w:val="20"/>
                      <w:highlight w:val="none"/>
                      <w:u w:val="none"/>
                    </w:rPr>
                  </w:pPr>
                </w:p>
              </w:tc>
              <w:tc>
                <w:tcPr>
                  <w:tcW w:w="1410" w:type="dxa"/>
                  <w:tcBorders>
                    <w:top w:val="nil"/>
                    <w:left w:val="nil"/>
                    <w:bottom w:val="nil"/>
                    <w:right w:val="nil"/>
                  </w:tcBorders>
                  <w:shd w:val="clear" w:color="auto" w:fill="FFFFFF"/>
                  <w:noWrap w:val="0"/>
                  <w:tcMar>
                    <w:top w:w="15" w:type="dxa"/>
                    <w:left w:w="15" w:type="dxa"/>
                    <w:right w:w="15" w:type="dxa"/>
                  </w:tcMar>
                  <w:vAlign w:val="bottom"/>
                </w:tcPr>
                <w:p>
                  <w:pPr>
                    <w:rPr>
                      <w:rFonts w:hint="default" w:ascii="Arial" w:hAnsi="Arial" w:cs="Arial"/>
                      <w:i w:val="0"/>
                      <w:color w:val="000000"/>
                      <w:sz w:val="20"/>
                      <w:szCs w:val="20"/>
                      <w:highlight w:val="none"/>
                      <w:u w:val="none"/>
                    </w:rPr>
                  </w:pPr>
                </w:p>
              </w:tc>
              <w:tc>
                <w:tcPr>
                  <w:tcW w:w="2320" w:type="dxa"/>
                  <w:gridSpan w:val="2"/>
                  <w:tcBorders>
                    <w:top w:val="nil"/>
                    <w:left w:val="nil"/>
                    <w:bottom w:val="nil"/>
                    <w:right w:val="nil"/>
                  </w:tcBorders>
                  <w:shd w:val="clear" w:color="auto" w:fill="FFFFFF"/>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金额单位：万元</w:t>
                  </w:r>
                </w:p>
              </w:tc>
            </w:tr>
            <w:tr>
              <w:trPr>
                <w:trHeight w:val="308" w:hRule="atLeast"/>
              </w:trPr>
              <w:tc>
                <w:tcPr>
                  <w:tcW w:w="5281" w:type="dxa"/>
                  <w:gridSpan w:val="3"/>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收     入</w:t>
                  </w:r>
                </w:p>
              </w:tc>
              <w:tc>
                <w:tcPr>
                  <w:tcW w:w="8566" w:type="dxa"/>
                  <w:gridSpan w:val="6"/>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支     出</w:t>
                  </w:r>
                </w:p>
              </w:tc>
            </w:tr>
            <w:tr>
              <w:tblPrEx>
                <w:tblCellMar>
                  <w:top w:w="0" w:type="dxa"/>
                  <w:left w:w="0" w:type="dxa"/>
                  <w:bottom w:w="0" w:type="dxa"/>
                  <w:right w:w="0" w:type="dxa"/>
                </w:tblCellMar>
              </w:tblPrEx>
              <w:trPr>
                <w:trHeight w:val="292" w:hRule="atLeast"/>
              </w:trPr>
              <w:tc>
                <w:tcPr>
                  <w:tcW w:w="3430" w:type="dxa"/>
                  <w:vMerge w:val="restart"/>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项目</w:t>
                  </w:r>
                </w:p>
              </w:tc>
              <w:tc>
                <w:tcPr>
                  <w:tcW w:w="471" w:type="dxa"/>
                  <w:vMerge w:val="restart"/>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行次</w:t>
                  </w:r>
                </w:p>
              </w:tc>
              <w:tc>
                <w:tcPr>
                  <w:tcW w:w="1380" w:type="dxa"/>
                  <w:vMerge w:val="restart"/>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金额</w:t>
                  </w:r>
                </w:p>
              </w:tc>
              <w:tc>
                <w:tcPr>
                  <w:tcW w:w="3345" w:type="dxa"/>
                  <w:vMerge w:val="restart"/>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项目</w:t>
                  </w:r>
                </w:p>
              </w:tc>
              <w:tc>
                <w:tcPr>
                  <w:tcW w:w="471" w:type="dxa"/>
                  <w:vMerge w:val="restart"/>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行次</w:t>
                  </w:r>
                </w:p>
              </w:tc>
              <w:tc>
                <w:tcPr>
                  <w:tcW w:w="1020" w:type="dxa"/>
                  <w:vMerge w:val="restart"/>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合计</w:t>
                  </w:r>
                </w:p>
              </w:tc>
              <w:tc>
                <w:tcPr>
                  <w:tcW w:w="1410" w:type="dxa"/>
                  <w:vMerge w:val="restart"/>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一般公共预算财政拨款</w:t>
                  </w:r>
                </w:p>
              </w:tc>
              <w:tc>
                <w:tcPr>
                  <w:tcW w:w="1115" w:type="dxa"/>
                  <w:vMerge w:val="restart"/>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政府性基金预算财政拨款</w:t>
                  </w:r>
                </w:p>
              </w:tc>
              <w:tc>
                <w:tcPr>
                  <w:tcW w:w="1205" w:type="dxa"/>
                  <w:vMerge w:val="restart"/>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国有资本经营预算财政拨款</w:t>
                  </w:r>
                </w:p>
              </w:tc>
            </w:tr>
            <w:tr>
              <w:trPr>
                <w:trHeight w:val="615" w:hRule="atLeast"/>
              </w:trPr>
              <w:tc>
                <w:tcPr>
                  <w:tcW w:w="3430" w:type="dxa"/>
                  <w:vMerge w:val="continue"/>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471" w:type="dxa"/>
                  <w:vMerge w:val="continue"/>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380" w:type="dxa"/>
                  <w:vMerge w:val="continue"/>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3345" w:type="dxa"/>
                  <w:vMerge w:val="continue"/>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471" w:type="dxa"/>
                  <w:vMerge w:val="continue"/>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020" w:type="dxa"/>
                  <w:vMerge w:val="continue"/>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410" w:type="dxa"/>
                  <w:vMerge w:val="continue"/>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115" w:type="dxa"/>
                  <w:vMerge w:val="continue"/>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205" w:type="dxa"/>
                  <w:vMerge w:val="continue"/>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rPr>
                <w:trHeight w:val="308" w:hRule="atLeast"/>
              </w:trPr>
              <w:tc>
                <w:tcPr>
                  <w:tcW w:w="3430" w:type="dxa"/>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栏次</w:t>
                  </w:r>
                </w:p>
              </w:tc>
              <w:tc>
                <w:tcPr>
                  <w:tcW w:w="471"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38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w:t>
                  </w:r>
                </w:p>
              </w:tc>
              <w:tc>
                <w:tcPr>
                  <w:tcW w:w="334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栏次</w:t>
                  </w:r>
                </w:p>
              </w:tc>
              <w:tc>
                <w:tcPr>
                  <w:tcW w:w="471"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02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w:t>
                  </w:r>
                </w:p>
              </w:tc>
              <w:tc>
                <w:tcPr>
                  <w:tcW w:w="141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w:t>
                  </w:r>
                </w:p>
              </w:tc>
              <w:tc>
                <w:tcPr>
                  <w:tcW w:w="111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w:t>
                  </w:r>
                </w:p>
              </w:tc>
              <w:tc>
                <w:tcPr>
                  <w:tcW w:w="120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w:t>
                  </w:r>
                </w:p>
              </w:tc>
            </w:tr>
            <w:tr>
              <w:trPr>
                <w:trHeight w:val="308" w:hRule="atLeast"/>
              </w:trPr>
              <w:tc>
                <w:tcPr>
                  <w:tcW w:w="3430" w:type="dxa"/>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一、一般公共预算财政拨款</w:t>
                  </w:r>
                </w:p>
              </w:tc>
              <w:tc>
                <w:tcPr>
                  <w:tcW w:w="471"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38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42,277.86</w:t>
                  </w:r>
                </w:p>
              </w:tc>
              <w:tc>
                <w:tcPr>
                  <w:tcW w:w="334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一、一般公共服务支出</w:t>
                  </w:r>
                </w:p>
              </w:tc>
              <w:tc>
                <w:tcPr>
                  <w:tcW w:w="471"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w:t>
                  </w:r>
                </w:p>
              </w:tc>
              <w:tc>
                <w:tcPr>
                  <w:tcW w:w="102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36.12</w:t>
                  </w:r>
                </w:p>
              </w:tc>
              <w:tc>
                <w:tcPr>
                  <w:tcW w:w="141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36.12</w:t>
                  </w:r>
                </w:p>
              </w:tc>
              <w:tc>
                <w:tcPr>
                  <w:tcW w:w="111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c>
                <w:tcPr>
                  <w:tcW w:w="120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r>
            <w:tr>
              <w:tblPrEx>
                <w:tblCellMar>
                  <w:top w:w="0" w:type="dxa"/>
                  <w:left w:w="0" w:type="dxa"/>
                  <w:bottom w:w="0" w:type="dxa"/>
                  <w:right w:w="0" w:type="dxa"/>
                </w:tblCellMar>
              </w:tblPrEx>
              <w:trPr>
                <w:trHeight w:val="308" w:hRule="atLeast"/>
              </w:trPr>
              <w:tc>
                <w:tcPr>
                  <w:tcW w:w="3430" w:type="dxa"/>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二、政府性基金预算财政拨款</w:t>
                  </w:r>
                </w:p>
              </w:tc>
              <w:tc>
                <w:tcPr>
                  <w:tcW w:w="471"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138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39,156.95</w:t>
                  </w:r>
                </w:p>
              </w:tc>
              <w:tc>
                <w:tcPr>
                  <w:tcW w:w="334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二、外交支出</w:t>
                  </w:r>
                </w:p>
              </w:tc>
              <w:tc>
                <w:tcPr>
                  <w:tcW w:w="471"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w:t>
                  </w:r>
                </w:p>
              </w:tc>
              <w:tc>
                <w:tcPr>
                  <w:tcW w:w="102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41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11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c>
                <w:tcPr>
                  <w:tcW w:w="120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r>
            <w:tr>
              <w:trPr>
                <w:trHeight w:val="308" w:hRule="atLeast"/>
              </w:trPr>
              <w:tc>
                <w:tcPr>
                  <w:tcW w:w="3430" w:type="dxa"/>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三、国有资本经营财政拨款</w:t>
                  </w:r>
                </w:p>
              </w:tc>
              <w:tc>
                <w:tcPr>
                  <w:tcW w:w="471"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138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334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三、国防支出</w:t>
                  </w:r>
                </w:p>
              </w:tc>
              <w:tc>
                <w:tcPr>
                  <w:tcW w:w="471"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w:t>
                  </w:r>
                </w:p>
              </w:tc>
              <w:tc>
                <w:tcPr>
                  <w:tcW w:w="102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41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11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c>
                <w:tcPr>
                  <w:tcW w:w="120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r>
            <w:tr>
              <w:trPr>
                <w:trHeight w:val="308" w:hRule="atLeast"/>
              </w:trPr>
              <w:tc>
                <w:tcPr>
                  <w:tcW w:w="3430" w:type="dxa"/>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rPr>
                  </w:pPr>
                </w:p>
              </w:tc>
              <w:tc>
                <w:tcPr>
                  <w:tcW w:w="471"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w:t>
                  </w:r>
                </w:p>
              </w:tc>
              <w:tc>
                <w:tcPr>
                  <w:tcW w:w="138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334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四、公共安全支出</w:t>
                  </w:r>
                </w:p>
              </w:tc>
              <w:tc>
                <w:tcPr>
                  <w:tcW w:w="471"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w:t>
                  </w:r>
                </w:p>
              </w:tc>
              <w:tc>
                <w:tcPr>
                  <w:tcW w:w="102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41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11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c>
                <w:tcPr>
                  <w:tcW w:w="120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r>
            <w:tr>
              <w:trPr>
                <w:trHeight w:val="308" w:hRule="atLeast"/>
              </w:trPr>
              <w:tc>
                <w:tcPr>
                  <w:tcW w:w="3430" w:type="dxa"/>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rPr>
                  </w:pPr>
                </w:p>
              </w:tc>
              <w:tc>
                <w:tcPr>
                  <w:tcW w:w="471"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w:t>
                  </w:r>
                </w:p>
              </w:tc>
              <w:tc>
                <w:tcPr>
                  <w:tcW w:w="138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334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五、教育支出</w:t>
                  </w:r>
                </w:p>
              </w:tc>
              <w:tc>
                <w:tcPr>
                  <w:tcW w:w="471"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w:t>
                  </w:r>
                </w:p>
              </w:tc>
              <w:tc>
                <w:tcPr>
                  <w:tcW w:w="102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41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11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c>
                <w:tcPr>
                  <w:tcW w:w="120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r>
            <w:tr>
              <w:trPr>
                <w:trHeight w:val="308" w:hRule="atLeast"/>
              </w:trPr>
              <w:tc>
                <w:tcPr>
                  <w:tcW w:w="3430" w:type="dxa"/>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rPr>
                  </w:pPr>
                </w:p>
              </w:tc>
              <w:tc>
                <w:tcPr>
                  <w:tcW w:w="471"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6</w:t>
                  </w:r>
                </w:p>
              </w:tc>
              <w:tc>
                <w:tcPr>
                  <w:tcW w:w="138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334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六、科学技术支出</w:t>
                  </w:r>
                </w:p>
              </w:tc>
              <w:tc>
                <w:tcPr>
                  <w:tcW w:w="471"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38</w:t>
                  </w:r>
                </w:p>
              </w:tc>
              <w:tc>
                <w:tcPr>
                  <w:tcW w:w="102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41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11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c>
                <w:tcPr>
                  <w:tcW w:w="120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r>
            <w:tr>
              <w:trPr>
                <w:trHeight w:val="308" w:hRule="atLeast"/>
              </w:trPr>
              <w:tc>
                <w:tcPr>
                  <w:tcW w:w="3430" w:type="dxa"/>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rPr>
                  </w:pPr>
                </w:p>
              </w:tc>
              <w:tc>
                <w:tcPr>
                  <w:tcW w:w="471"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7</w:t>
                  </w:r>
                </w:p>
              </w:tc>
              <w:tc>
                <w:tcPr>
                  <w:tcW w:w="138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334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七、文化旅游体育与传媒支出</w:t>
                  </w:r>
                </w:p>
              </w:tc>
              <w:tc>
                <w:tcPr>
                  <w:tcW w:w="471"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w:t>
                  </w:r>
                </w:p>
              </w:tc>
              <w:tc>
                <w:tcPr>
                  <w:tcW w:w="102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41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11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c>
                <w:tcPr>
                  <w:tcW w:w="120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r>
            <w:tr>
              <w:trPr>
                <w:trHeight w:val="308" w:hRule="atLeast"/>
              </w:trPr>
              <w:tc>
                <w:tcPr>
                  <w:tcW w:w="3430" w:type="dxa"/>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rPr>
                  </w:pPr>
                </w:p>
              </w:tc>
              <w:tc>
                <w:tcPr>
                  <w:tcW w:w="471"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8</w:t>
                  </w:r>
                </w:p>
              </w:tc>
              <w:tc>
                <w:tcPr>
                  <w:tcW w:w="138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334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八、社会保障和就业支出</w:t>
                  </w:r>
                </w:p>
              </w:tc>
              <w:tc>
                <w:tcPr>
                  <w:tcW w:w="471"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102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42.91</w:t>
                  </w:r>
                </w:p>
              </w:tc>
              <w:tc>
                <w:tcPr>
                  <w:tcW w:w="141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42.91</w:t>
                  </w:r>
                </w:p>
              </w:tc>
              <w:tc>
                <w:tcPr>
                  <w:tcW w:w="111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120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r>
            <w:tr>
              <w:tblPrEx>
                <w:tblCellMar>
                  <w:top w:w="0" w:type="dxa"/>
                  <w:left w:w="0" w:type="dxa"/>
                  <w:bottom w:w="0" w:type="dxa"/>
                  <w:right w:w="0" w:type="dxa"/>
                </w:tblCellMar>
              </w:tblPrEx>
              <w:trPr>
                <w:trHeight w:val="308" w:hRule="atLeast"/>
              </w:trPr>
              <w:tc>
                <w:tcPr>
                  <w:tcW w:w="3430" w:type="dxa"/>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rPr>
                  </w:pPr>
                </w:p>
              </w:tc>
              <w:tc>
                <w:tcPr>
                  <w:tcW w:w="471"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9</w:t>
                  </w:r>
                </w:p>
              </w:tc>
              <w:tc>
                <w:tcPr>
                  <w:tcW w:w="138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334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九、卫生健康支出</w:t>
                  </w:r>
                </w:p>
              </w:tc>
              <w:tc>
                <w:tcPr>
                  <w:tcW w:w="471"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w:t>
                  </w:r>
                </w:p>
              </w:tc>
              <w:tc>
                <w:tcPr>
                  <w:tcW w:w="102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141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111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120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r>
            <w:tr>
              <w:trPr>
                <w:trHeight w:val="308" w:hRule="atLeast"/>
              </w:trPr>
              <w:tc>
                <w:tcPr>
                  <w:tcW w:w="3430" w:type="dxa"/>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rPr>
                  </w:pPr>
                </w:p>
              </w:tc>
              <w:tc>
                <w:tcPr>
                  <w:tcW w:w="471"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w:t>
                  </w:r>
                </w:p>
              </w:tc>
              <w:tc>
                <w:tcPr>
                  <w:tcW w:w="138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334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十、节能环保支出</w:t>
                  </w:r>
                </w:p>
              </w:tc>
              <w:tc>
                <w:tcPr>
                  <w:tcW w:w="471"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w:t>
                  </w:r>
                </w:p>
              </w:tc>
              <w:tc>
                <w:tcPr>
                  <w:tcW w:w="102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141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111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120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r>
            <w:tr>
              <w:trPr>
                <w:trHeight w:val="308" w:hRule="atLeast"/>
              </w:trPr>
              <w:tc>
                <w:tcPr>
                  <w:tcW w:w="3430" w:type="dxa"/>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rPr>
                  </w:pPr>
                </w:p>
              </w:tc>
              <w:tc>
                <w:tcPr>
                  <w:tcW w:w="471"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11</w:t>
                  </w:r>
                </w:p>
              </w:tc>
              <w:tc>
                <w:tcPr>
                  <w:tcW w:w="138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334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十一、城乡社区支出</w:t>
                  </w:r>
                </w:p>
              </w:tc>
              <w:tc>
                <w:tcPr>
                  <w:tcW w:w="471"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43</w:t>
                  </w:r>
                </w:p>
              </w:tc>
              <w:tc>
                <w:tcPr>
                  <w:tcW w:w="102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81,153.40</w:t>
                  </w:r>
                </w:p>
              </w:tc>
              <w:tc>
                <w:tcPr>
                  <w:tcW w:w="141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41,996.45</w:t>
                  </w:r>
                </w:p>
              </w:tc>
              <w:tc>
                <w:tcPr>
                  <w:tcW w:w="111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39,156.95</w:t>
                  </w:r>
                </w:p>
              </w:tc>
              <w:tc>
                <w:tcPr>
                  <w:tcW w:w="120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r>
            <w:tr>
              <w:trPr>
                <w:trHeight w:val="308" w:hRule="atLeast"/>
              </w:trPr>
              <w:tc>
                <w:tcPr>
                  <w:tcW w:w="3430" w:type="dxa"/>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rPr>
                  </w:pPr>
                </w:p>
              </w:tc>
              <w:tc>
                <w:tcPr>
                  <w:tcW w:w="471"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12</w:t>
                  </w:r>
                </w:p>
              </w:tc>
              <w:tc>
                <w:tcPr>
                  <w:tcW w:w="138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334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十二、农林水支出</w:t>
                  </w:r>
                </w:p>
              </w:tc>
              <w:tc>
                <w:tcPr>
                  <w:tcW w:w="471"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w:t>
                  </w:r>
                </w:p>
              </w:tc>
              <w:tc>
                <w:tcPr>
                  <w:tcW w:w="102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41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11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c>
                <w:tcPr>
                  <w:tcW w:w="120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r>
            <w:tr>
              <w:trPr>
                <w:trHeight w:val="308" w:hRule="atLeast"/>
              </w:trPr>
              <w:tc>
                <w:tcPr>
                  <w:tcW w:w="3430" w:type="dxa"/>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rPr>
                  </w:pPr>
                </w:p>
              </w:tc>
              <w:tc>
                <w:tcPr>
                  <w:tcW w:w="471"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13</w:t>
                  </w:r>
                </w:p>
              </w:tc>
              <w:tc>
                <w:tcPr>
                  <w:tcW w:w="138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334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十三、交通运输支出</w:t>
                  </w:r>
                </w:p>
              </w:tc>
              <w:tc>
                <w:tcPr>
                  <w:tcW w:w="471"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w:t>
                  </w:r>
                </w:p>
              </w:tc>
              <w:tc>
                <w:tcPr>
                  <w:tcW w:w="102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41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11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c>
                <w:tcPr>
                  <w:tcW w:w="120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r>
            <w:tr>
              <w:trPr>
                <w:trHeight w:val="308" w:hRule="atLeast"/>
              </w:trPr>
              <w:tc>
                <w:tcPr>
                  <w:tcW w:w="3430" w:type="dxa"/>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rPr>
                  </w:pPr>
                </w:p>
              </w:tc>
              <w:tc>
                <w:tcPr>
                  <w:tcW w:w="471"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14</w:t>
                  </w:r>
                </w:p>
              </w:tc>
              <w:tc>
                <w:tcPr>
                  <w:tcW w:w="138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334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十四、资源勘探工业信息等支出</w:t>
                  </w:r>
                </w:p>
              </w:tc>
              <w:tc>
                <w:tcPr>
                  <w:tcW w:w="471"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w:t>
                  </w:r>
                </w:p>
              </w:tc>
              <w:tc>
                <w:tcPr>
                  <w:tcW w:w="102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41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11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c>
                <w:tcPr>
                  <w:tcW w:w="120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r>
            <w:tr>
              <w:trPr>
                <w:trHeight w:val="308" w:hRule="atLeast"/>
              </w:trPr>
              <w:tc>
                <w:tcPr>
                  <w:tcW w:w="3430" w:type="dxa"/>
                  <w:tcBorders>
                    <w:top w:val="nil"/>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rPr>
                  </w:pPr>
                </w:p>
              </w:tc>
              <w:tc>
                <w:tcPr>
                  <w:tcW w:w="471" w:type="dxa"/>
                  <w:tcBorders>
                    <w:top w:val="nil"/>
                    <w:left w:val="nil"/>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15</w:t>
                  </w:r>
                </w:p>
              </w:tc>
              <w:tc>
                <w:tcPr>
                  <w:tcW w:w="1380" w:type="dxa"/>
                  <w:tcBorders>
                    <w:top w:val="nil"/>
                    <w:left w:val="nil"/>
                    <w:bottom w:val="single" w:color="auto"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3345" w:type="dxa"/>
                  <w:tcBorders>
                    <w:top w:val="nil"/>
                    <w:left w:val="nil"/>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十五、商业服务业等支出</w:t>
                  </w:r>
                </w:p>
              </w:tc>
              <w:tc>
                <w:tcPr>
                  <w:tcW w:w="471" w:type="dxa"/>
                  <w:tcBorders>
                    <w:top w:val="nil"/>
                    <w:left w:val="nil"/>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w:t>
                  </w:r>
                </w:p>
              </w:tc>
              <w:tc>
                <w:tcPr>
                  <w:tcW w:w="1020" w:type="dxa"/>
                  <w:tcBorders>
                    <w:top w:val="nil"/>
                    <w:left w:val="nil"/>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410" w:type="dxa"/>
                  <w:tcBorders>
                    <w:top w:val="nil"/>
                    <w:left w:val="nil"/>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115" w:type="dxa"/>
                  <w:tcBorders>
                    <w:top w:val="nil"/>
                    <w:left w:val="nil"/>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c>
                <w:tcPr>
                  <w:tcW w:w="1205" w:type="dxa"/>
                  <w:tcBorders>
                    <w:top w:val="nil"/>
                    <w:left w:val="nil"/>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r>
            <w:tr>
              <w:trPr>
                <w:trHeight w:val="308" w:hRule="atLeast"/>
              </w:trPr>
              <w:tc>
                <w:tcPr>
                  <w:tcW w:w="343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rPr>
                  </w:pPr>
                </w:p>
              </w:tc>
              <w:tc>
                <w:tcPr>
                  <w:tcW w:w="471"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16</w:t>
                  </w:r>
                </w:p>
              </w:tc>
              <w:tc>
                <w:tcPr>
                  <w:tcW w:w="138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334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十六、金融支出</w:t>
                  </w:r>
                </w:p>
              </w:tc>
              <w:tc>
                <w:tcPr>
                  <w:tcW w:w="471"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w:t>
                  </w:r>
                </w:p>
              </w:tc>
              <w:tc>
                <w:tcPr>
                  <w:tcW w:w="10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41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11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20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r>
            <w:tr>
              <w:trPr>
                <w:trHeight w:val="308" w:hRule="atLeast"/>
              </w:trPr>
              <w:tc>
                <w:tcPr>
                  <w:tcW w:w="343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rPr>
                  </w:pPr>
                </w:p>
              </w:tc>
              <w:tc>
                <w:tcPr>
                  <w:tcW w:w="471"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17</w:t>
                  </w:r>
                </w:p>
              </w:tc>
              <w:tc>
                <w:tcPr>
                  <w:tcW w:w="138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334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十七、援助其他地区支出</w:t>
                  </w:r>
                </w:p>
              </w:tc>
              <w:tc>
                <w:tcPr>
                  <w:tcW w:w="471"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w:t>
                  </w:r>
                </w:p>
              </w:tc>
              <w:tc>
                <w:tcPr>
                  <w:tcW w:w="10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41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11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20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r>
            <w:tr>
              <w:trPr>
                <w:trHeight w:val="308" w:hRule="atLeast"/>
              </w:trPr>
              <w:tc>
                <w:tcPr>
                  <w:tcW w:w="343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rPr>
                  </w:pPr>
                </w:p>
              </w:tc>
              <w:tc>
                <w:tcPr>
                  <w:tcW w:w="471"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18</w:t>
                  </w:r>
                </w:p>
              </w:tc>
              <w:tc>
                <w:tcPr>
                  <w:tcW w:w="138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334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十八、自然资源海洋气象等支出</w:t>
                  </w:r>
                </w:p>
              </w:tc>
              <w:tc>
                <w:tcPr>
                  <w:tcW w:w="471"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10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41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11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20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r>
            <w:tr>
              <w:trPr>
                <w:trHeight w:val="308" w:hRule="atLeast"/>
              </w:trPr>
              <w:tc>
                <w:tcPr>
                  <w:tcW w:w="343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rPr>
                  </w:pPr>
                </w:p>
              </w:tc>
              <w:tc>
                <w:tcPr>
                  <w:tcW w:w="471"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19</w:t>
                  </w:r>
                </w:p>
              </w:tc>
              <w:tc>
                <w:tcPr>
                  <w:tcW w:w="138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334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十九、住房保障支出</w:t>
                  </w:r>
                </w:p>
              </w:tc>
              <w:tc>
                <w:tcPr>
                  <w:tcW w:w="471"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51</w:t>
                  </w:r>
                </w:p>
              </w:tc>
              <w:tc>
                <w:tcPr>
                  <w:tcW w:w="10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238.50</w:t>
                  </w:r>
                </w:p>
              </w:tc>
              <w:tc>
                <w:tcPr>
                  <w:tcW w:w="141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238.50</w:t>
                  </w:r>
                </w:p>
              </w:tc>
              <w:tc>
                <w:tcPr>
                  <w:tcW w:w="111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20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r>
            <w:tr>
              <w:tblPrEx>
                <w:tblCellMar>
                  <w:top w:w="0" w:type="dxa"/>
                  <w:left w:w="0" w:type="dxa"/>
                  <w:bottom w:w="0" w:type="dxa"/>
                  <w:right w:w="0" w:type="dxa"/>
                </w:tblCellMar>
              </w:tblPrEx>
              <w:trPr>
                <w:trHeight w:val="308" w:hRule="atLeast"/>
              </w:trPr>
              <w:tc>
                <w:tcPr>
                  <w:tcW w:w="343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rPr>
                  </w:pPr>
                </w:p>
              </w:tc>
              <w:tc>
                <w:tcPr>
                  <w:tcW w:w="471"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20</w:t>
                  </w:r>
                </w:p>
              </w:tc>
              <w:tc>
                <w:tcPr>
                  <w:tcW w:w="138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334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二十、粮油物资储备支出</w:t>
                  </w:r>
                </w:p>
              </w:tc>
              <w:tc>
                <w:tcPr>
                  <w:tcW w:w="471"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52</w:t>
                  </w:r>
                </w:p>
              </w:tc>
              <w:tc>
                <w:tcPr>
                  <w:tcW w:w="10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41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11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20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r>
            <w:tr>
              <w:trPr>
                <w:trHeight w:val="308" w:hRule="atLeast"/>
              </w:trPr>
              <w:tc>
                <w:tcPr>
                  <w:tcW w:w="343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rPr>
                  </w:pPr>
                </w:p>
              </w:tc>
              <w:tc>
                <w:tcPr>
                  <w:tcW w:w="471"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21</w:t>
                  </w:r>
                </w:p>
              </w:tc>
              <w:tc>
                <w:tcPr>
                  <w:tcW w:w="138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334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二十一、国有资本经营预算支出</w:t>
                  </w:r>
                </w:p>
              </w:tc>
              <w:tc>
                <w:tcPr>
                  <w:tcW w:w="471"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53</w:t>
                  </w:r>
                </w:p>
              </w:tc>
              <w:tc>
                <w:tcPr>
                  <w:tcW w:w="10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41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11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20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r>
            <w:tr>
              <w:trPr>
                <w:trHeight w:val="308" w:hRule="atLeast"/>
              </w:trPr>
              <w:tc>
                <w:tcPr>
                  <w:tcW w:w="343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rPr>
                  </w:pPr>
                </w:p>
              </w:tc>
              <w:tc>
                <w:tcPr>
                  <w:tcW w:w="471"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22</w:t>
                  </w:r>
                </w:p>
              </w:tc>
              <w:tc>
                <w:tcPr>
                  <w:tcW w:w="138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334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二十二、灾害防治及应急管理支出</w:t>
                  </w:r>
                </w:p>
              </w:tc>
              <w:tc>
                <w:tcPr>
                  <w:tcW w:w="471"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54</w:t>
                  </w:r>
                </w:p>
              </w:tc>
              <w:tc>
                <w:tcPr>
                  <w:tcW w:w="10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41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11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20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r>
            <w:tr>
              <w:trPr>
                <w:trHeight w:val="308" w:hRule="atLeast"/>
              </w:trPr>
              <w:tc>
                <w:tcPr>
                  <w:tcW w:w="343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rPr>
                  </w:pPr>
                </w:p>
              </w:tc>
              <w:tc>
                <w:tcPr>
                  <w:tcW w:w="471"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23</w:t>
                  </w:r>
                </w:p>
              </w:tc>
              <w:tc>
                <w:tcPr>
                  <w:tcW w:w="138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334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二十三、其他支出</w:t>
                  </w:r>
                </w:p>
              </w:tc>
              <w:tc>
                <w:tcPr>
                  <w:tcW w:w="471"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w:t>
                  </w:r>
                </w:p>
              </w:tc>
              <w:tc>
                <w:tcPr>
                  <w:tcW w:w="10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41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11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20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r>
            <w:tr>
              <w:trPr>
                <w:trHeight w:val="308" w:hRule="atLeast"/>
              </w:trPr>
              <w:tc>
                <w:tcPr>
                  <w:tcW w:w="343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i w:val="0"/>
                      <w:color w:val="000000"/>
                      <w:sz w:val="20"/>
                      <w:szCs w:val="20"/>
                      <w:highlight w:val="none"/>
                      <w:u w:val="none"/>
                    </w:rPr>
                  </w:pPr>
                </w:p>
              </w:tc>
              <w:tc>
                <w:tcPr>
                  <w:tcW w:w="471"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24</w:t>
                  </w:r>
                </w:p>
              </w:tc>
              <w:tc>
                <w:tcPr>
                  <w:tcW w:w="138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334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二十四、债务还本支出</w:t>
                  </w:r>
                </w:p>
              </w:tc>
              <w:tc>
                <w:tcPr>
                  <w:tcW w:w="471"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w:t>
                  </w:r>
                </w:p>
              </w:tc>
              <w:tc>
                <w:tcPr>
                  <w:tcW w:w="10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41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11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20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r>
            <w:tr>
              <w:trPr>
                <w:trHeight w:val="308" w:hRule="atLeast"/>
              </w:trPr>
              <w:tc>
                <w:tcPr>
                  <w:tcW w:w="343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471"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25</w:t>
                  </w:r>
                </w:p>
              </w:tc>
              <w:tc>
                <w:tcPr>
                  <w:tcW w:w="138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334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二十五、债务付息支出</w:t>
                  </w:r>
                </w:p>
              </w:tc>
              <w:tc>
                <w:tcPr>
                  <w:tcW w:w="471"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57</w:t>
                  </w:r>
                </w:p>
              </w:tc>
              <w:tc>
                <w:tcPr>
                  <w:tcW w:w="10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41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11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20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r>
            <w:tr>
              <w:trPr>
                <w:trHeight w:val="308" w:hRule="atLeast"/>
              </w:trPr>
              <w:tc>
                <w:tcPr>
                  <w:tcW w:w="343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471"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26</w:t>
                  </w:r>
                </w:p>
              </w:tc>
              <w:tc>
                <w:tcPr>
                  <w:tcW w:w="138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334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二十六、抗疫特别国债安排的支出</w:t>
                  </w:r>
                </w:p>
              </w:tc>
              <w:tc>
                <w:tcPr>
                  <w:tcW w:w="471"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58</w:t>
                  </w:r>
                </w:p>
              </w:tc>
              <w:tc>
                <w:tcPr>
                  <w:tcW w:w="10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41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11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20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r>
            <w:tr>
              <w:trPr>
                <w:trHeight w:val="308" w:hRule="atLeast"/>
              </w:trPr>
              <w:tc>
                <w:tcPr>
                  <w:tcW w:w="343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本年收入合计</w:t>
                  </w:r>
                </w:p>
              </w:tc>
              <w:tc>
                <w:tcPr>
                  <w:tcW w:w="471"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w:t>
                  </w:r>
                </w:p>
              </w:tc>
              <w:tc>
                <w:tcPr>
                  <w:tcW w:w="138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81,434.81</w:t>
                  </w:r>
                </w:p>
              </w:tc>
              <w:tc>
                <w:tcPr>
                  <w:tcW w:w="334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本年支出合计</w:t>
                  </w:r>
                </w:p>
              </w:tc>
              <w:tc>
                <w:tcPr>
                  <w:tcW w:w="471"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59</w:t>
                  </w:r>
                </w:p>
              </w:tc>
              <w:tc>
                <w:tcPr>
                  <w:tcW w:w="10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81,434.81</w:t>
                  </w:r>
                </w:p>
              </w:tc>
              <w:tc>
                <w:tcPr>
                  <w:tcW w:w="141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42,277.86</w:t>
                  </w:r>
                </w:p>
              </w:tc>
              <w:tc>
                <w:tcPr>
                  <w:tcW w:w="111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39,156.95</w:t>
                  </w:r>
                </w:p>
              </w:tc>
              <w:tc>
                <w:tcPr>
                  <w:tcW w:w="120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r>
            <w:tr>
              <w:tblPrEx>
                <w:tblCellMar>
                  <w:top w:w="0" w:type="dxa"/>
                  <w:left w:w="0" w:type="dxa"/>
                  <w:bottom w:w="0" w:type="dxa"/>
                  <w:right w:w="0" w:type="dxa"/>
                </w:tblCellMar>
              </w:tblPrEx>
              <w:trPr>
                <w:trHeight w:val="308" w:hRule="atLeast"/>
              </w:trPr>
              <w:tc>
                <w:tcPr>
                  <w:tcW w:w="343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年初财政拨款结转和结余</w:t>
                  </w:r>
                </w:p>
              </w:tc>
              <w:tc>
                <w:tcPr>
                  <w:tcW w:w="471"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138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334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年末财政拨款结转和结余</w:t>
                  </w:r>
                </w:p>
              </w:tc>
              <w:tc>
                <w:tcPr>
                  <w:tcW w:w="471"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10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141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111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120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r>
            <w:tr>
              <w:trPr>
                <w:trHeight w:val="308" w:hRule="atLeast"/>
              </w:trPr>
              <w:tc>
                <w:tcPr>
                  <w:tcW w:w="343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一般公共预算财政拨款</w:t>
                  </w:r>
                </w:p>
              </w:tc>
              <w:tc>
                <w:tcPr>
                  <w:tcW w:w="471"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w:t>
                  </w:r>
                </w:p>
              </w:tc>
              <w:tc>
                <w:tcPr>
                  <w:tcW w:w="138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334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rPr>
                  </w:pPr>
                </w:p>
              </w:tc>
              <w:tc>
                <w:tcPr>
                  <w:tcW w:w="471"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61</w:t>
                  </w:r>
                </w:p>
              </w:tc>
              <w:tc>
                <w:tcPr>
                  <w:tcW w:w="10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141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111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120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r>
            <w:tr>
              <w:trPr>
                <w:trHeight w:val="308" w:hRule="atLeast"/>
              </w:trPr>
              <w:tc>
                <w:tcPr>
                  <w:tcW w:w="3430" w:type="dxa"/>
                  <w:tcBorders>
                    <w:top w:val="single" w:color="auto"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政府性基金预算财政拨款</w:t>
                  </w:r>
                </w:p>
              </w:tc>
              <w:tc>
                <w:tcPr>
                  <w:tcW w:w="471" w:type="dxa"/>
                  <w:tcBorders>
                    <w:top w:val="single" w:color="auto"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1380" w:type="dxa"/>
                  <w:tcBorders>
                    <w:top w:val="single" w:color="auto"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3345" w:type="dxa"/>
                  <w:tcBorders>
                    <w:top w:val="single" w:color="auto"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rPr>
                  </w:pPr>
                </w:p>
              </w:tc>
              <w:tc>
                <w:tcPr>
                  <w:tcW w:w="471" w:type="dxa"/>
                  <w:tcBorders>
                    <w:top w:val="single" w:color="auto"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w:t>
                  </w:r>
                </w:p>
              </w:tc>
              <w:tc>
                <w:tcPr>
                  <w:tcW w:w="1020" w:type="dxa"/>
                  <w:tcBorders>
                    <w:top w:val="single" w:color="auto"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1410" w:type="dxa"/>
                  <w:tcBorders>
                    <w:top w:val="single" w:color="auto"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1115" w:type="dxa"/>
                  <w:tcBorders>
                    <w:top w:val="single" w:color="auto"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1205" w:type="dxa"/>
                  <w:tcBorders>
                    <w:top w:val="single" w:color="auto"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r>
            <w:tr>
              <w:trPr>
                <w:trHeight w:val="308" w:hRule="atLeast"/>
              </w:trPr>
              <w:tc>
                <w:tcPr>
                  <w:tcW w:w="3430" w:type="dxa"/>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国有资本经营预算财政拨款</w:t>
                  </w:r>
                </w:p>
              </w:tc>
              <w:tc>
                <w:tcPr>
                  <w:tcW w:w="471"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w:t>
                  </w:r>
                </w:p>
              </w:tc>
              <w:tc>
                <w:tcPr>
                  <w:tcW w:w="138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334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rPr>
                  </w:pPr>
                </w:p>
              </w:tc>
              <w:tc>
                <w:tcPr>
                  <w:tcW w:w="471"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w:t>
                  </w:r>
                </w:p>
              </w:tc>
              <w:tc>
                <w:tcPr>
                  <w:tcW w:w="102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141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111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120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r>
            <w:tr>
              <w:trPr>
                <w:trHeight w:val="308" w:hRule="atLeast"/>
              </w:trPr>
              <w:tc>
                <w:tcPr>
                  <w:tcW w:w="3430" w:type="dxa"/>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总计</w:t>
                  </w:r>
                </w:p>
              </w:tc>
              <w:tc>
                <w:tcPr>
                  <w:tcW w:w="471" w:type="dxa"/>
                  <w:tcBorders>
                    <w:top w:val="nil"/>
                    <w:left w:val="nil"/>
                    <w:bottom w:val="single" w:color="000000" w:sz="8"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w:t>
                  </w:r>
                </w:p>
              </w:tc>
              <w:tc>
                <w:tcPr>
                  <w:tcW w:w="138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81,434.81</w:t>
                  </w:r>
                </w:p>
              </w:tc>
              <w:tc>
                <w:tcPr>
                  <w:tcW w:w="334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总计</w:t>
                  </w:r>
                </w:p>
              </w:tc>
              <w:tc>
                <w:tcPr>
                  <w:tcW w:w="471"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64</w:t>
                  </w:r>
                </w:p>
              </w:tc>
              <w:tc>
                <w:tcPr>
                  <w:tcW w:w="102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81,434.81</w:t>
                  </w:r>
                </w:p>
              </w:tc>
              <w:tc>
                <w:tcPr>
                  <w:tcW w:w="141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42,277.86</w:t>
                  </w:r>
                </w:p>
              </w:tc>
              <w:tc>
                <w:tcPr>
                  <w:tcW w:w="111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39,156.95</w:t>
                  </w:r>
                </w:p>
              </w:tc>
              <w:tc>
                <w:tcPr>
                  <w:tcW w:w="120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0.00</w:t>
                  </w:r>
                </w:p>
              </w:tc>
            </w:tr>
            <w:tr>
              <w:trPr>
                <w:trHeight w:val="308" w:hRule="atLeast"/>
              </w:trPr>
              <w:tc>
                <w:tcPr>
                  <w:tcW w:w="13847" w:type="dxa"/>
                  <w:gridSpan w:val="9"/>
                  <w:tcBorders>
                    <w:top w:val="nil"/>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注：本表反映部门本年度一般公共预算财政拨款、政府性基金预算财政拨款和国有资本经营预算财政拨款的总收支和年末结转结余情况。</w:t>
                  </w:r>
                </w:p>
              </w:tc>
            </w:tr>
          </w:tbl>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highlight w:val="none"/>
                <w:u w:val="none"/>
                <w:lang w:val="en-US" w:eastAsia="zh-CN" w:bidi="ar"/>
              </w:rPr>
            </w:pPr>
          </w:p>
          <w:p>
            <w:pPr>
              <w:keepNext w:val="0"/>
              <w:keepLines w:val="0"/>
              <w:widowControl/>
              <w:suppressLineNumbers w:val="0"/>
              <w:jc w:val="center"/>
              <w:textAlignment w:val="center"/>
              <w:rPr>
                <w:rFonts w:ascii="华文中宋" w:hAnsi="华文中宋" w:eastAsia="华文中宋" w:cs="华文中宋"/>
                <w:i w:val="0"/>
                <w:color w:val="000000"/>
                <w:sz w:val="32"/>
                <w:szCs w:val="32"/>
                <w:highlight w:val="none"/>
                <w:u w:val="none"/>
              </w:rPr>
            </w:pPr>
            <w:r>
              <w:rPr>
                <w:rFonts w:hint="eastAsia" w:ascii="华文中宋" w:hAnsi="华文中宋" w:eastAsia="华文中宋" w:cs="华文中宋"/>
                <w:i w:val="0"/>
                <w:color w:val="000000"/>
                <w:kern w:val="0"/>
                <w:sz w:val="32"/>
                <w:szCs w:val="32"/>
                <w:highlight w:val="none"/>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13988" w:type="dxa"/>
            <w:gridSpan w:val="9"/>
            <w:tcBorders>
              <w:top w:val="nil"/>
              <w:left w:val="nil"/>
              <w:bottom w:val="nil"/>
              <w:right w:val="nil"/>
            </w:tcBorders>
            <w:noWrap w:val="0"/>
            <w:tcMar>
              <w:top w:w="15" w:type="dxa"/>
              <w:left w:w="15" w:type="dxa"/>
              <w:right w:w="15" w:type="dxa"/>
            </w:tcMar>
            <w:vAlign w:val="center"/>
          </w:tcPr>
          <w:tbl>
            <w:tblPr>
              <w:tblStyle w:val="10"/>
              <w:tblW w:w="4998" w:type="pct"/>
              <w:tblInd w:w="0" w:type="dxa"/>
              <w:shd w:val="clear" w:color="auto" w:fill="FFFFFF"/>
              <w:tblLayout w:type="autofit"/>
              <w:tblCellMar>
                <w:top w:w="0" w:type="dxa"/>
                <w:left w:w="0" w:type="dxa"/>
                <w:bottom w:w="0" w:type="dxa"/>
                <w:right w:w="0" w:type="dxa"/>
              </w:tblCellMar>
            </w:tblPr>
            <w:tblGrid>
              <w:gridCol w:w="285"/>
              <w:gridCol w:w="285"/>
              <w:gridCol w:w="287"/>
              <w:gridCol w:w="5584"/>
              <w:gridCol w:w="2941"/>
              <w:gridCol w:w="2006"/>
              <w:gridCol w:w="2564"/>
            </w:tblGrid>
            <w:tr>
              <w:tblPrEx>
                <w:shd w:val="clear" w:color="auto" w:fill="FFFFFF"/>
              </w:tblPrEx>
              <w:trPr>
                <w:trHeight w:val="255" w:hRule="atLeast"/>
              </w:trPr>
              <w:tc>
                <w:tcPr>
                  <w:tcW w:w="102" w:type="pct"/>
                  <w:tcBorders>
                    <w:top w:val="nil"/>
                    <w:left w:val="nil"/>
                    <w:bottom w:val="nil"/>
                    <w:right w:val="nil"/>
                  </w:tcBorders>
                  <w:shd w:val="clear" w:color="auto" w:fill="FFFFFF"/>
                  <w:noWrap w:val="0"/>
                  <w:tcMar>
                    <w:top w:w="15" w:type="dxa"/>
                    <w:left w:w="15" w:type="dxa"/>
                    <w:right w:w="15" w:type="dxa"/>
                  </w:tcMar>
                  <w:vAlign w:val="bottom"/>
                </w:tcPr>
                <w:p>
                  <w:pPr>
                    <w:rPr>
                      <w:rFonts w:hint="eastAsia" w:ascii="Arial" w:hAnsi="Arial" w:cs="Arial"/>
                      <w:i w:val="0"/>
                      <w:color w:val="000000"/>
                      <w:sz w:val="20"/>
                      <w:szCs w:val="20"/>
                      <w:highlight w:val="none"/>
                      <w:u w:val="none"/>
                    </w:rPr>
                  </w:pPr>
                </w:p>
              </w:tc>
              <w:tc>
                <w:tcPr>
                  <w:tcW w:w="102" w:type="pct"/>
                  <w:tcBorders>
                    <w:top w:val="nil"/>
                    <w:left w:val="nil"/>
                    <w:bottom w:val="nil"/>
                    <w:right w:val="nil"/>
                  </w:tcBorders>
                  <w:shd w:val="clear" w:color="auto" w:fill="FFFFFF"/>
                  <w:noWrap w:val="0"/>
                  <w:tcMar>
                    <w:top w:w="15" w:type="dxa"/>
                    <w:left w:w="15" w:type="dxa"/>
                    <w:right w:w="15" w:type="dxa"/>
                  </w:tcMar>
                  <w:vAlign w:val="bottom"/>
                </w:tcPr>
                <w:p>
                  <w:pPr>
                    <w:rPr>
                      <w:rFonts w:hint="default" w:ascii="Arial" w:hAnsi="Arial" w:cs="Arial"/>
                      <w:i w:val="0"/>
                      <w:color w:val="000000"/>
                      <w:sz w:val="20"/>
                      <w:szCs w:val="20"/>
                      <w:highlight w:val="none"/>
                      <w:u w:val="none"/>
                    </w:rPr>
                  </w:pPr>
                </w:p>
              </w:tc>
              <w:tc>
                <w:tcPr>
                  <w:tcW w:w="102" w:type="pct"/>
                  <w:tcBorders>
                    <w:top w:val="nil"/>
                    <w:left w:val="nil"/>
                    <w:bottom w:val="nil"/>
                    <w:right w:val="nil"/>
                  </w:tcBorders>
                  <w:shd w:val="clear" w:color="auto" w:fill="FFFFFF"/>
                  <w:noWrap w:val="0"/>
                  <w:tcMar>
                    <w:top w:w="15" w:type="dxa"/>
                    <w:left w:w="15" w:type="dxa"/>
                    <w:right w:w="15" w:type="dxa"/>
                  </w:tcMar>
                  <w:vAlign w:val="bottom"/>
                </w:tcPr>
                <w:p>
                  <w:pPr>
                    <w:rPr>
                      <w:rFonts w:hint="default" w:ascii="Arial" w:hAnsi="Arial" w:cs="Arial"/>
                      <w:i w:val="0"/>
                      <w:color w:val="000000"/>
                      <w:sz w:val="20"/>
                      <w:szCs w:val="20"/>
                      <w:highlight w:val="none"/>
                      <w:u w:val="none"/>
                    </w:rPr>
                  </w:pPr>
                </w:p>
              </w:tc>
              <w:tc>
                <w:tcPr>
                  <w:tcW w:w="2001" w:type="pct"/>
                  <w:tcBorders>
                    <w:top w:val="nil"/>
                    <w:left w:val="nil"/>
                    <w:bottom w:val="nil"/>
                    <w:right w:val="nil"/>
                  </w:tcBorders>
                  <w:shd w:val="clear" w:color="auto" w:fill="FFFFFF"/>
                  <w:noWrap w:val="0"/>
                  <w:tcMar>
                    <w:top w:w="15" w:type="dxa"/>
                    <w:left w:w="15" w:type="dxa"/>
                    <w:right w:w="15" w:type="dxa"/>
                  </w:tcMar>
                  <w:vAlign w:val="bottom"/>
                </w:tcPr>
                <w:p>
                  <w:pPr>
                    <w:rPr>
                      <w:rFonts w:hint="default" w:ascii="Arial" w:hAnsi="Arial" w:cs="Arial"/>
                      <w:i w:val="0"/>
                      <w:color w:val="000000"/>
                      <w:sz w:val="20"/>
                      <w:szCs w:val="20"/>
                      <w:highlight w:val="none"/>
                      <w:u w:val="none"/>
                    </w:rPr>
                  </w:pPr>
                </w:p>
              </w:tc>
              <w:tc>
                <w:tcPr>
                  <w:tcW w:w="1054" w:type="pct"/>
                  <w:tcBorders>
                    <w:top w:val="nil"/>
                    <w:left w:val="nil"/>
                    <w:bottom w:val="nil"/>
                    <w:right w:val="nil"/>
                  </w:tcBorders>
                  <w:shd w:val="clear" w:color="auto" w:fill="FFFFFF"/>
                  <w:noWrap w:val="0"/>
                  <w:tcMar>
                    <w:top w:w="15" w:type="dxa"/>
                    <w:left w:w="15" w:type="dxa"/>
                    <w:right w:w="15" w:type="dxa"/>
                  </w:tcMar>
                  <w:vAlign w:val="bottom"/>
                </w:tcPr>
                <w:p>
                  <w:pPr>
                    <w:rPr>
                      <w:rFonts w:hint="default" w:ascii="Arial" w:hAnsi="Arial" w:cs="Arial"/>
                      <w:i w:val="0"/>
                      <w:color w:val="000000"/>
                      <w:sz w:val="20"/>
                      <w:szCs w:val="20"/>
                      <w:highlight w:val="none"/>
                      <w:u w:val="none"/>
                    </w:rPr>
                  </w:pPr>
                </w:p>
              </w:tc>
              <w:tc>
                <w:tcPr>
                  <w:tcW w:w="719" w:type="pct"/>
                  <w:tcBorders>
                    <w:top w:val="nil"/>
                    <w:left w:val="nil"/>
                    <w:bottom w:val="nil"/>
                    <w:right w:val="nil"/>
                  </w:tcBorders>
                  <w:shd w:val="clear" w:color="auto" w:fill="FFFFFF"/>
                  <w:noWrap w:val="0"/>
                  <w:tcMar>
                    <w:top w:w="15" w:type="dxa"/>
                    <w:left w:w="15" w:type="dxa"/>
                    <w:right w:w="15" w:type="dxa"/>
                  </w:tcMar>
                  <w:vAlign w:val="bottom"/>
                </w:tcPr>
                <w:p>
                  <w:pPr>
                    <w:rPr>
                      <w:rFonts w:hint="default" w:ascii="Arial" w:hAnsi="Arial" w:cs="Arial"/>
                      <w:i w:val="0"/>
                      <w:color w:val="000000"/>
                      <w:sz w:val="20"/>
                      <w:szCs w:val="20"/>
                      <w:highlight w:val="none"/>
                      <w:u w:val="none"/>
                    </w:rPr>
                  </w:pPr>
                </w:p>
              </w:tc>
              <w:tc>
                <w:tcPr>
                  <w:tcW w:w="917" w:type="pct"/>
                  <w:tcBorders>
                    <w:top w:val="nil"/>
                    <w:left w:val="nil"/>
                    <w:bottom w:val="nil"/>
                    <w:right w:val="nil"/>
                  </w:tcBorders>
                  <w:shd w:val="clear" w:color="auto" w:fill="FFFFFF"/>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公开05表</w:t>
                  </w:r>
                </w:p>
              </w:tc>
            </w:tr>
            <w:tr>
              <w:tblPrEx>
                <w:shd w:val="clear" w:color="auto" w:fill="FFFFFF"/>
              </w:tblPrEx>
              <w:trPr>
                <w:trHeight w:val="255" w:hRule="atLeast"/>
              </w:trPr>
              <w:tc>
                <w:tcPr>
                  <w:tcW w:w="2308" w:type="pct"/>
                  <w:gridSpan w:val="4"/>
                  <w:tcBorders>
                    <w:top w:val="nil"/>
                    <w:left w:val="nil"/>
                    <w:bottom w:val="nil"/>
                    <w:right w:val="nil"/>
                  </w:tcBorders>
                  <w:shd w:val="clear" w:color="auto" w:fill="FFFFFF"/>
                  <w:noWrap w:val="0"/>
                  <w:tcMar>
                    <w:top w:w="15" w:type="dxa"/>
                    <w:left w:w="15" w:type="dxa"/>
                    <w:right w:w="15" w:type="dxa"/>
                  </w:tcMar>
                  <w:vAlign w:val="bottom"/>
                </w:tcPr>
                <w:p>
                  <w:pPr>
                    <w:keepNext w:val="0"/>
                    <w:keepLines w:val="0"/>
                    <w:widowControl/>
                    <w:suppressLineNumbers w:val="0"/>
                    <w:jc w:val="both"/>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部门：许昌市建安区住房和城乡建设局</w:t>
                  </w:r>
                  <w:r>
                    <w:rPr>
                      <w:rFonts w:hint="eastAsia" w:ascii="宋体" w:hAnsi="宋体" w:eastAsia="宋体" w:cs="宋体"/>
                      <w:i w:val="0"/>
                      <w:iCs w:val="0"/>
                      <w:color w:val="000000"/>
                      <w:kern w:val="0"/>
                      <w:sz w:val="20"/>
                      <w:szCs w:val="20"/>
                      <w:highlight w:val="none"/>
                      <w:u w:val="none"/>
                      <w:lang w:val="en-US" w:eastAsia="zh-CN" w:bidi="ar"/>
                    </w:rPr>
                    <w:t>（本级）</w:t>
                  </w:r>
                </w:p>
              </w:tc>
              <w:tc>
                <w:tcPr>
                  <w:tcW w:w="1054" w:type="pct"/>
                  <w:tcBorders>
                    <w:top w:val="nil"/>
                    <w:left w:val="nil"/>
                    <w:bottom w:val="nil"/>
                    <w:right w:val="nil"/>
                  </w:tcBorders>
                  <w:shd w:val="clear" w:color="auto" w:fill="FFFFFF"/>
                  <w:noWrap w:val="0"/>
                  <w:tcMar>
                    <w:top w:w="15" w:type="dxa"/>
                    <w:left w:w="15" w:type="dxa"/>
                    <w:right w:w="15" w:type="dxa"/>
                  </w:tcMar>
                  <w:vAlign w:val="bottom"/>
                </w:tcPr>
                <w:p>
                  <w:pPr>
                    <w:rPr>
                      <w:rFonts w:hint="default" w:ascii="Arial" w:hAnsi="Arial" w:cs="Arial"/>
                      <w:i w:val="0"/>
                      <w:color w:val="000000"/>
                      <w:sz w:val="20"/>
                      <w:szCs w:val="20"/>
                      <w:highlight w:val="none"/>
                      <w:u w:val="none"/>
                    </w:rPr>
                  </w:pPr>
                </w:p>
              </w:tc>
              <w:tc>
                <w:tcPr>
                  <w:tcW w:w="719" w:type="pct"/>
                  <w:tcBorders>
                    <w:top w:val="nil"/>
                    <w:left w:val="nil"/>
                    <w:bottom w:val="nil"/>
                    <w:right w:val="nil"/>
                  </w:tcBorders>
                  <w:shd w:val="clear" w:color="auto" w:fill="FFFFFF"/>
                  <w:noWrap w:val="0"/>
                  <w:tcMar>
                    <w:top w:w="15" w:type="dxa"/>
                    <w:left w:w="15" w:type="dxa"/>
                    <w:right w:w="15" w:type="dxa"/>
                  </w:tcMar>
                  <w:vAlign w:val="bottom"/>
                </w:tcPr>
                <w:p>
                  <w:pPr>
                    <w:rPr>
                      <w:rFonts w:hint="default" w:ascii="Arial" w:hAnsi="Arial" w:cs="Arial"/>
                      <w:i w:val="0"/>
                      <w:color w:val="000000"/>
                      <w:sz w:val="20"/>
                      <w:szCs w:val="20"/>
                      <w:highlight w:val="none"/>
                      <w:u w:val="none"/>
                    </w:rPr>
                  </w:pPr>
                </w:p>
              </w:tc>
              <w:tc>
                <w:tcPr>
                  <w:tcW w:w="917" w:type="pct"/>
                  <w:tcBorders>
                    <w:top w:val="nil"/>
                    <w:left w:val="nil"/>
                    <w:bottom w:val="nil"/>
                    <w:right w:val="nil"/>
                  </w:tcBorders>
                  <w:shd w:val="clear" w:color="auto" w:fill="FFFFFF"/>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金额单位：万元</w:t>
                  </w:r>
                </w:p>
              </w:tc>
            </w:tr>
            <w:tr>
              <w:tblPrEx>
                <w:shd w:val="clear" w:color="auto" w:fill="FFFFFF"/>
              </w:tblPrEx>
              <w:trPr>
                <w:trHeight w:val="308" w:hRule="atLeast"/>
              </w:trPr>
              <w:tc>
                <w:tcPr>
                  <w:tcW w:w="2308" w:type="pct"/>
                  <w:gridSpan w:val="4"/>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项目</w:t>
                  </w:r>
                </w:p>
              </w:tc>
              <w:tc>
                <w:tcPr>
                  <w:tcW w:w="2691" w:type="pct"/>
                  <w:gridSpan w:val="3"/>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本年支出</w:t>
                  </w:r>
                </w:p>
              </w:tc>
            </w:tr>
            <w:tr>
              <w:tblPrEx>
                <w:shd w:val="clear" w:color="auto" w:fill="FFFFFF"/>
                <w:tblCellMar>
                  <w:top w:w="0" w:type="dxa"/>
                  <w:left w:w="0" w:type="dxa"/>
                  <w:bottom w:w="0" w:type="dxa"/>
                  <w:right w:w="0" w:type="dxa"/>
                </w:tblCellMar>
              </w:tblPrEx>
              <w:trPr>
                <w:trHeight w:val="308" w:hRule="atLeast"/>
              </w:trPr>
              <w:tc>
                <w:tcPr>
                  <w:tcW w:w="307" w:type="pct"/>
                  <w:gridSpan w:val="3"/>
                  <w:vMerge w:val="restart"/>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功能分类科目编码</w:t>
                  </w:r>
                </w:p>
              </w:tc>
              <w:tc>
                <w:tcPr>
                  <w:tcW w:w="2001" w:type="pct"/>
                  <w:vMerge w:val="restart"/>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科目名称</w:t>
                  </w:r>
                </w:p>
              </w:tc>
              <w:tc>
                <w:tcPr>
                  <w:tcW w:w="1054" w:type="pct"/>
                  <w:vMerge w:val="restart"/>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小计</w:t>
                  </w:r>
                </w:p>
              </w:tc>
              <w:tc>
                <w:tcPr>
                  <w:tcW w:w="719" w:type="pct"/>
                  <w:vMerge w:val="restart"/>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基本支出</w:t>
                  </w:r>
                </w:p>
              </w:tc>
              <w:tc>
                <w:tcPr>
                  <w:tcW w:w="917" w:type="pct"/>
                  <w:vMerge w:val="restart"/>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项目支出</w:t>
                  </w:r>
                </w:p>
              </w:tc>
            </w:tr>
            <w:tr>
              <w:tblPrEx>
                <w:shd w:val="clear" w:color="auto" w:fill="FFFFFF"/>
              </w:tblPrEx>
              <w:trPr>
                <w:trHeight w:val="277" w:hRule="atLeast"/>
              </w:trPr>
              <w:tc>
                <w:tcPr>
                  <w:tcW w:w="307" w:type="pct"/>
                  <w:gridSpan w:val="3"/>
                  <w:vMerge w:val="continue"/>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2001" w:type="pct"/>
                  <w:vMerge w:val="continue"/>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054" w:type="pct"/>
                  <w:vMerge w:val="continue"/>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719" w:type="pct"/>
                  <w:vMerge w:val="continue"/>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917" w:type="pct"/>
                  <w:vMerge w:val="continue"/>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shd w:val="clear" w:color="auto" w:fill="FFFFFF"/>
              </w:tblPrEx>
              <w:trPr>
                <w:trHeight w:val="308" w:hRule="atLeast"/>
              </w:trPr>
              <w:tc>
                <w:tcPr>
                  <w:tcW w:w="307" w:type="pct"/>
                  <w:gridSpan w:val="3"/>
                  <w:vMerge w:val="continue"/>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2001" w:type="pct"/>
                  <w:vMerge w:val="continue"/>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054" w:type="pct"/>
                  <w:vMerge w:val="continue"/>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719" w:type="pct"/>
                  <w:vMerge w:val="continue"/>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917" w:type="pct"/>
                  <w:vMerge w:val="continue"/>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shd w:val="clear" w:color="auto" w:fill="FFFFFF"/>
              </w:tblPrEx>
              <w:trPr>
                <w:trHeight w:val="308" w:hRule="atLeast"/>
              </w:trPr>
              <w:tc>
                <w:tcPr>
                  <w:tcW w:w="2308" w:type="pct"/>
                  <w:gridSpan w:val="4"/>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栏次</w:t>
                  </w:r>
                </w:p>
              </w:tc>
              <w:tc>
                <w:tcPr>
                  <w:tcW w:w="1054" w:type="pct"/>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w:t>
                  </w:r>
                </w:p>
              </w:tc>
              <w:tc>
                <w:tcPr>
                  <w:tcW w:w="719" w:type="pct"/>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w:t>
                  </w:r>
                </w:p>
              </w:tc>
              <w:tc>
                <w:tcPr>
                  <w:tcW w:w="917" w:type="pct"/>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w:t>
                  </w:r>
                </w:p>
              </w:tc>
            </w:tr>
            <w:tr>
              <w:tblPrEx>
                <w:shd w:val="clear" w:color="auto" w:fill="FFFFFF"/>
              </w:tblPrEx>
              <w:trPr>
                <w:trHeight w:val="308" w:hRule="atLeast"/>
              </w:trPr>
              <w:tc>
                <w:tcPr>
                  <w:tcW w:w="2308" w:type="pct"/>
                  <w:gridSpan w:val="4"/>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合计</w:t>
                  </w:r>
                </w:p>
              </w:tc>
              <w:tc>
                <w:tcPr>
                  <w:tcW w:w="1054" w:type="pct"/>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42,277.86</w:t>
                  </w:r>
                </w:p>
              </w:tc>
              <w:tc>
                <w:tcPr>
                  <w:tcW w:w="719" w:type="pct"/>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410.86</w:t>
                  </w:r>
                </w:p>
              </w:tc>
              <w:tc>
                <w:tcPr>
                  <w:tcW w:w="917" w:type="pct"/>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41,866.99</w:t>
                  </w:r>
                </w:p>
              </w:tc>
            </w:tr>
            <w:tr>
              <w:tblPrEx>
                <w:shd w:val="clear" w:color="auto" w:fill="FFFFFF"/>
                <w:tblCellMar>
                  <w:top w:w="0" w:type="dxa"/>
                  <w:left w:w="0" w:type="dxa"/>
                  <w:bottom w:w="0" w:type="dxa"/>
                  <w:right w:w="0" w:type="dxa"/>
                </w:tblCellMar>
              </w:tblPrEx>
              <w:trPr>
                <w:trHeight w:val="308" w:hRule="atLeast"/>
              </w:trPr>
              <w:tc>
                <w:tcPr>
                  <w:tcW w:w="307" w:type="pct"/>
                  <w:gridSpan w:val="3"/>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w:t>
                  </w:r>
                </w:p>
              </w:tc>
              <w:tc>
                <w:tcPr>
                  <w:tcW w:w="2001" w:type="pct"/>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社会保障和就业支出</w:t>
                  </w:r>
                </w:p>
              </w:tc>
              <w:tc>
                <w:tcPr>
                  <w:tcW w:w="1054" w:type="pct"/>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42.91</w:t>
                  </w:r>
                </w:p>
              </w:tc>
              <w:tc>
                <w:tcPr>
                  <w:tcW w:w="719" w:type="pct"/>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42.91</w:t>
                  </w:r>
                </w:p>
              </w:tc>
              <w:tc>
                <w:tcPr>
                  <w:tcW w:w="917" w:type="pct"/>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r>
            <w:tr>
              <w:tblPrEx>
                <w:shd w:val="clear" w:color="auto" w:fill="FFFFFF"/>
                <w:tblCellMar>
                  <w:top w:w="0" w:type="dxa"/>
                  <w:left w:w="0" w:type="dxa"/>
                  <w:bottom w:w="0" w:type="dxa"/>
                  <w:right w:w="0" w:type="dxa"/>
                </w:tblCellMar>
              </w:tblPrEx>
              <w:trPr>
                <w:trHeight w:val="308" w:hRule="atLeast"/>
              </w:trPr>
              <w:tc>
                <w:tcPr>
                  <w:tcW w:w="307" w:type="pct"/>
                  <w:gridSpan w:val="3"/>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w:t>
                  </w:r>
                </w:p>
              </w:tc>
              <w:tc>
                <w:tcPr>
                  <w:tcW w:w="2001" w:type="pct"/>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行政事业单位养老支出</w:t>
                  </w:r>
                </w:p>
              </w:tc>
              <w:tc>
                <w:tcPr>
                  <w:tcW w:w="1054" w:type="pct"/>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42.91</w:t>
                  </w:r>
                </w:p>
              </w:tc>
              <w:tc>
                <w:tcPr>
                  <w:tcW w:w="719" w:type="pct"/>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42.91</w:t>
                  </w:r>
                </w:p>
              </w:tc>
              <w:tc>
                <w:tcPr>
                  <w:tcW w:w="917" w:type="pct"/>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r>
            <w:tr>
              <w:tblPrEx>
                <w:shd w:val="clear" w:color="auto" w:fill="FFFFFF"/>
                <w:tblCellMar>
                  <w:top w:w="0" w:type="dxa"/>
                  <w:left w:w="0" w:type="dxa"/>
                  <w:bottom w:w="0" w:type="dxa"/>
                  <w:right w:w="0" w:type="dxa"/>
                </w:tblCellMar>
              </w:tblPrEx>
              <w:trPr>
                <w:trHeight w:val="308" w:hRule="atLeast"/>
              </w:trPr>
              <w:tc>
                <w:tcPr>
                  <w:tcW w:w="307" w:type="pct"/>
                  <w:gridSpan w:val="3"/>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2080501</w:t>
                  </w:r>
                </w:p>
              </w:tc>
              <w:tc>
                <w:tcPr>
                  <w:tcW w:w="2001" w:type="pct"/>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行政单位离退休</w:t>
                  </w:r>
                </w:p>
              </w:tc>
              <w:tc>
                <w:tcPr>
                  <w:tcW w:w="1054" w:type="pct"/>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42.91</w:t>
                  </w:r>
                </w:p>
              </w:tc>
              <w:tc>
                <w:tcPr>
                  <w:tcW w:w="719" w:type="pct"/>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42.91</w:t>
                  </w:r>
                </w:p>
              </w:tc>
              <w:tc>
                <w:tcPr>
                  <w:tcW w:w="917" w:type="pct"/>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r>
            <w:tr>
              <w:tblPrEx>
                <w:shd w:val="clear" w:color="auto" w:fill="FFFFFF"/>
                <w:tblCellMar>
                  <w:top w:w="0" w:type="dxa"/>
                  <w:left w:w="0" w:type="dxa"/>
                  <w:bottom w:w="0" w:type="dxa"/>
                  <w:right w:w="0" w:type="dxa"/>
                </w:tblCellMar>
              </w:tblPrEx>
              <w:trPr>
                <w:trHeight w:val="308" w:hRule="atLeast"/>
              </w:trPr>
              <w:tc>
                <w:tcPr>
                  <w:tcW w:w="307" w:type="pct"/>
                  <w:gridSpan w:val="3"/>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212</w:t>
                  </w:r>
                </w:p>
              </w:tc>
              <w:tc>
                <w:tcPr>
                  <w:tcW w:w="2001" w:type="pct"/>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城乡社区支出</w:t>
                  </w:r>
                </w:p>
              </w:tc>
              <w:tc>
                <w:tcPr>
                  <w:tcW w:w="1054" w:type="pct"/>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41,996.45</w:t>
                  </w:r>
                </w:p>
              </w:tc>
              <w:tc>
                <w:tcPr>
                  <w:tcW w:w="719" w:type="pct"/>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367.96</w:t>
                  </w:r>
                </w:p>
              </w:tc>
              <w:tc>
                <w:tcPr>
                  <w:tcW w:w="917" w:type="pct"/>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41,628.49</w:t>
                  </w:r>
                </w:p>
              </w:tc>
            </w:tr>
            <w:tr>
              <w:tblPrEx>
                <w:shd w:val="clear" w:color="auto" w:fill="FFFFFF"/>
                <w:tblCellMar>
                  <w:top w:w="0" w:type="dxa"/>
                  <w:left w:w="0" w:type="dxa"/>
                  <w:bottom w:w="0" w:type="dxa"/>
                  <w:right w:w="0" w:type="dxa"/>
                </w:tblCellMar>
              </w:tblPrEx>
              <w:trPr>
                <w:trHeight w:val="308" w:hRule="atLeast"/>
              </w:trPr>
              <w:tc>
                <w:tcPr>
                  <w:tcW w:w="307" w:type="pct"/>
                  <w:gridSpan w:val="3"/>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21201</w:t>
                  </w:r>
                </w:p>
              </w:tc>
              <w:tc>
                <w:tcPr>
                  <w:tcW w:w="2001" w:type="pct"/>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城乡社区管理事务</w:t>
                  </w:r>
                </w:p>
              </w:tc>
              <w:tc>
                <w:tcPr>
                  <w:tcW w:w="1054" w:type="pct"/>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367.96</w:t>
                  </w:r>
                </w:p>
              </w:tc>
              <w:tc>
                <w:tcPr>
                  <w:tcW w:w="719" w:type="pct"/>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367.96</w:t>
                  </w:r>
                </w:p>
              </w:tc>
              <w:tc>
                <w:tcPr>
                  <w:tcW w:w="917" w:type="pct"/>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308" w:hRule="atLeast"/>
              </w:trPr>
              <w:tc>
                <w:tcPr>
                  <w:tcW w:w="307" w:type="pct"/>
                  <w:gridSpan w:val="3"/>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2120101</w:t>
                  </w:r>
                </w:p>
              </w:tc>
              <w:tc>
                <w:tcPr>
                  <w:tcW w:w="2001" w:type="pct"/>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行政运行</w:t>
                  </w:r>
                </w:p>
              </w:tc>
              <w:tc>
                <w:tcPr>
                  <w:tcW w:w="1054" w:type="pct"/>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367.96</w:t>
                  </w:r>
                </w:p>
              </w:tc>
              <w:tc>
                <w:tcPr>
                  <w:tcW w:w="719" w:type="pct"/>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367.96</w:t>
                  </w:r>
                </w:p>
              </w:tc>
              <w:tc>
                <w:tcPr>
                  <w:tcW w:w="917" w:type="pct"/>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308" w:hRule="atLeast"/>
              </w:trPr>
              <w:tc>
                <w:tcPr>
                  <w:tcW w:w="307" w:type="pct"/>
                  <w:gridSpan w:val="3"/>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21203</w:t>
                  </w:r>
                </w:p>
              </w:tc>
              <w:tc>
                <w:tcPr>
                  <w:tcW w:w="2001" w:type="pct"/>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城乡社区公共设施</w:t>
                  </w:r>
                </w:p>
              </w:tc>
              <w:tc>
                <w:tcPr>
                  <w:tcW w:w="1054" w:type="pct"/>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41,628.49</w:t>
                  </w:r>
                </w:p>
              </w:tc>
              <w:tc>
                <w:tcPr>
                  <w:tcW w:w="719" w:type="pct"/>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917" w:type="pct"/>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41,628.49</w:t>
                  </w:r>
                </w:p>
              </w:tc>
            </w:tr>
            <w:tr>
              <w:tblPrEx>
                <w:tblCellMar>
                  <w:top w:w="0" w:type="dxa"/>
                  <w:left w:w="0" w:type="dxa"/>
                  <w:bottom w:w="0" w:type="dxa"/>
                  <w:right w:w="0" w:type="dxa"/>
                </w:tblCellMar>
              </w:tblPrEx>
              <w:trPr>
                <w:trHeight w:val="308" w:hRule="atLeast"/>
              </w:trPr>
              <w:tc>
                <w:tcPr>
                  <w:tcW w:w="307" w:type="pct"/>
                  <w:gridSpan w:val="3"/>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2120399</w:t>
                  </w:r>
                </w:p>
              </w:tc>
              <w:tc>
                <w:tcPr>
                  <w:tcW w:w="2001" w:type="pct"/>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其他城乡社区公共设施支出</w:t>
                  </w:r>
                </w:p>
              </w:tc>
              <w:tc>
                <w:tcPr>
                  <w:tcW w:w="1054" w:type="pct"/>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41,628.49</w:t>
                  </w:r>
                </w:p>
              </w:tc>
              <w:tc>
                <w:tcPr>
                  <w:tcW w:w="719" w:type="pct"/>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917" w:type="pct"/>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41,628.49</w:t>
                  </w:r>
                </w:p>
              </w:tc>
            </w:tr>
            <w:tr>
              <w:tblPrEx>
                <w:tblCellMar>
                  <w:top w:w="0" w:type="dxa"/>
                  <w:left w:w="0" w:type="dxa"/>
                  <w:bottom w:w="0" w:type="dxa"/>
                  <w:right w:w="0" w:type="dxa"/>
                </w:tblCellMar>
              </w:tblPrEx>
              <w:trPr>
                <w:trHeight w:val="308" w:hRule="atLeast"/>
              </w:trPr>
              <w:tc>
                <w:tcPr>
                  <w:tcW w:w="307" w:type="pct"/>
                  <w:gridSpan w:val="3"/>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221</w:t>
                  </w:r>
                </w:p>
              </w:tc>
              <w:tc>
                <w:tcPr>
                  <w:tcW w:w="2001" w:type="pct"/>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住房保障支出</w:t>
                  </w:r>
                </w:p>
              </w:tc>
              <w:tc>
                <w:tcPr>
                  <w:tcW w:w="1054" w:type="pct"/>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238.50</w:t>
                  </w:r>
                </w:p>
              </w:tc>
              <w:tc>
                <w:tcPr>
                  <w:tcW w:w="719" w:type="pct"/>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917" w:type="pct"/>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238.50</w:t>
                  </w:r>
                </w:p>
              </w:tc>
            </w:tr>
            <w:tr>
              <w:tblPrEx>
                <w:tblCellMar>
                  <w:top w:w="0" w:type="dxa"/>
                  <w:left w:w="0" w:type="dxa"/>
                  <w:bottom w:w="0" w:type="dxa"/>
                  <w:right w:w="0" w:type="dxa"/>
                </w:tblCellMar>
              </w:tblPrEx>
              <w:trPr>
                <w:trHeight w:val="308" w:hRule="atLeast"/>
              </w:trPr>
              <w:tc>
                <w:tcPr>
                  <w:tcW w:w="307" w:type="pct"/>
                  <w:gridSpan w:val="3"/>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22101</w:t>
                  </w:r>
                </w:p>
              </w:tc>
              <w:tc>
                <w:tcPr>
                  <w:tcW w:w="2001" w:type="pct"/>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保障性安居工程支出</w:t>
                  </w:r>
                </w:p>
              </w:tc>
              <w:tc>
                <w:tcPr>
                  <w:tcW w:w="1054" w:type="pct"/>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238.50</w:t>
                  </w:r>
                </w:p>
              </w:tc>
              <w:tc>
                <w:tcPr>
                  <w:tcW w:w="719" w:type="pct"/>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917" w:type="pct"/>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238.50</w:t>
                  </w:r>
                </w:p>
              </w:tc>
            </w:tr>
            <w:tr>
              <w:tblPrEx>
                <w:tblCellMar>
                  <w:top w:w="0" w:type="dxa"/>
                  <w:left w:w="0" w:type="dxa"/>
                  <w:bottom w:w="0" w:type="dxa"/>
                  <w:right w:w="0" w:type="dxa"/>
                </w:tblCellMar>
              </w:tblPrEx>
              <w:trPr>
                <w:trHeight w:val="308" w:hRule="atLeast"/>
              </w:trPr>
              <w:tc>
                <w:tcPr>
                  <w:tcW w:w="307" w:type="pct"/>
                  <w:gridSpan w:val="3"/>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2210105</w:t>
                  </w:r>
                </w:p>
              </w:tc>
              <w:tc>
                <w:tcPr>
                  <w:tcW w:w="2001" w:type="pct"/>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农村危房改造</w:t>
                  </w:r>
                </w:p>
              </w:tc>
              <w:tc>
                <w:tcPr>
                  <w:tcW w:w="1054" w:type="pct"/>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8.50</w:t>
                  </w:r>
                </w:p>
              </w:tc>
              <w:tc>
                <w:tcPr>
                  <w:tcW w:w="719" w:type="pct"/>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917" w:type="pct"/>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8.50</w:t>
                  </w:r>
                </w:p>
              </w:tc>
            </w:tr>
            <w:tr>
              <w:trPr>
                <w:trHeight w:val="308" w:hRule="atLeast"/>
              </w:trPr>
              <w:tc>
                <w:tcPr>
                  <w:tcW w:w="307" w:type="pct"/>
                  <w:gridSpan w:val="3"/>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2210108</w:t>
                  </w:r>
                </w:p>
              </w:tc>
              <w:tc>
                <w:tcPr>
                  <w:tcW w:w="2001" w:type="pct"/>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老旧小区改造</w:t>
                  </w:r>
                </w:p>
              </w:tc>
              <w:tc>
                <w:tcPr>
                  <w:tcW w:w="1054" w:type="pct"/>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230.00</w:t>
                  </w:r>
                </w:p>
              </w:tc>
              <w:tc>
                <w:tcPr>
                  <w:tcW w:w="719" w:type="pct"/>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917" w:type="pct"/>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230.00</w:t>
                  </w:r>
                </w:p>
              </w:tc>
            </w:tr>
            <w:tr>
              <w:tblPrEx>
                <w:tblCellMar>
                  <w:top w:w="0" w:type="dxa"/>
                  <w:left w:w="0" w:type="dxa"/>
                  <w:bottom w:w="0" w:type="dxa"/>
                  <w:right w:w="0" w:type="dxa"/>
                </w:tblCellMar>
              </w:tblPrEx>
              <w:trPr>
                <w:trHeight w:val="308" w:hRule="atLeast"/>
              </w:trPr>
              <w:tc>
                <w:tcPr>
                  <w:tcW w:w="5000" w:type="pct"/>
                  <w:gridSpan w:val="7"/>
                  <w:tcBorders>
                    <w:top w:val="nil"/>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注：本表反映部门本年度一般公共预算财政拨款支出情况。</w:t>
                  </w:r>
                </w:p>
              </w:tc>
            </w:tr>
          </w:tbl>
          <w:p>
            <w:pPr>
              <w:pStyle w:val="2"/>
              <w:ind w:left="0" w:leftChars="0" w:firstLine="0" w:firstLineChars="0"/>
              <w:jc w:val="both"/>
              <w:rPr>
                <w:rFonts w:hint="eastAsia" w:ascii="仿宋_GB2312" w:hAnsi="仿宋_GB2312" w:eastAsia="仿宋_GB2312" w:cs="仿宋_GB2312"/>
                <w:color w:val="auto"/>
                <w:sz w:val="32"/>
                <w:szCs w:val="32"/>
                <w:highlight w:val="none"/>
              </w:rPr>
            </w:pPr>
          </w:p>
          <w:p>
            <w:pPr>
              <w:keepNext w:val="0"/>
              <w:keepLines w:val="0"/>
              <w:widowControl/>
              <w:suppressLineNumbers w:val="0"/>
              <w:jc w:val="center"/>
              <w:textAlignment w:val="center"/>
              <w:rPr>
                <w:rFonts w:ascii="华文中宋" w:hAnsi="华文中宋" w:eastAsia="华文中宋" w:cs="华文中宋"/>
                <w:i w:val="0"/>
                <w:color w:val="000000"/>
                <w:sz w:val="32"/>
                <w:szCs w:val="32"/>
                <w:highlight w:val="none"/>
                <w:u w:val="none"/>
              </w:rPr>
            </w:pPr>
            <w:r>
              <w:rPr>
                <w:rFonts w:hint="eastAsia" w:ascii="华文中宋" w:hAnsi="华文中宋" w:eastAsia="华文中宋" w:cs="华文中宋"/>
                <w:i w:val="0"/>
                <w:color w:val="000000"/>
                <w:kern w:val="0"/>
                <w:sz w:val="32"/>
                <w:szCs w:val="32"/>
                <w:highlight w:val="none"/>
                <w:u w:val="none"/>
                <w:lang w:val="en-US" w:eastAsia="zh-CN" w:bidi="ar"/>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997"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689"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67"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046"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2047"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146"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089"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2645"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062" w:type="dxa"/>
            <w:tcBorders>
              <w:top w:val="nil"/>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4953" w:type="dxa"/>
            <w:gridSpan w:val="3"/>
            <w:tcBorders>
              <w:top w:val="nil"/>
              <w:left w:val="nil"/>
              <w:bottom w:val="nil"/>
              <w:right w:val="nil"/>
            </w:tcBorders>
            <w:noWrap w:val="0"/>
            <w:tcMar>
              <w:top w:w="15" w:type="dxa"/>
              <w:left w:w="15" w:type="dxa"/>
              <w:right w:w="15" w:type="dxa"/>
            </w:tcMar>
            <w:vAlign w:val="center"/>
          </w:tcPr>
          <w:p>
            <w:pPr>
              <w:rPr>
                <w:rFonts w:hint="default" w:ascii="Arial" w:hAnsi="Arial" w:eastAsia="宋体" w:cs="Arial"/>
                <w:i w:val="0"/>
                <w:color w:val="000000"/>
                <w:sz w:val="20"/>
                <w:szCs w:val="20"/>
                <w:highlight w:val="none"/>
                <w:u w:val="none"/>
              </w:rPr>
            </w:pPr>
            <w:r>
              <w:rPr>
                <w:rFonts w:hint="default" w:ascii="Arial" w:hAnsi="Arial" w:eastAsia="宋体" w:cs="Arial"/>
                <w:i w:val="0"/>
                <w:color w:val="000000"/>
                <w:kern w:val="0"/>
                <w:sz w:val="20"/>
                <w:szCs w:val="20"/>
                <w:highlight w:val="none"/>
                <w:u w:val="none"/>
                <w:lang w:val="en-US" w:eastAsia="zh-CN" w:bidi="ar"/>
              </w:rPr>
              <w:t>部门：</w:t>
            </w:r>
            <w:r>
              <w:rPr>
                <w:rFonts w:hint="eastAsia" w:ascii="宋体" w:hAnsi="宋体" w:eastAsia="宋体" w:cs="宋体"/>
                <w:i w:val="0"/>
                <w:color w:val="000000"/>
                <w:kern w:val="0"/>
                <w:sz w:val="20"/>
                <w:szCs w:val="20"/>
                <w:highlight w:val="none"/>
                <w:u w:val="none"/>
                <w:lang w:val="en-US" w:eastAsia="zh-CN" w:bidi="ar"/>
              </w:rPr>
              <w:t>许昌市建安区住房和城乡建设局</w:t>
            </w:r>
            <w:r>
              <w:rPr>
                <w:rFonts w:hint="eastAsia" w:ascii="宋体" w:hAnsi="宋体" w:eastAsia="宋体" w:cs="宋体"/>
                <w:i w:val="0"/>
                <w:iCs w:val="0"/>
                <w:color w:val="000000"/>
                <w:kern w:val="0"/>
                <w:sz w:val="20"/>
                <w:szCs w:val="20"/>
                <w:highlight w:val="none"/>
                <w:u w:val="none"/>
                <w:lang w:val="en-US" w:eastAsia="zh-CN" w:bidi="ar"/>
              </w:rPr>
              <w:t>（本级）</w:t>
            </w:r>
          </w:p>
        </w:tc>
        <w:tc>
          <w:tcPr>
            <w:tcW w:w="1046" w:type="dxa"/>
            <w:tcBorders>
              <w:top w:val="nil"/>
              <w:left w:val="nil"/>
              <w:bottom w:val="nil"/>
              <w:right w:val="nil"/>
            </w:tcBorders>
            <w:noWrap w:val="0"/>
            <w:tcMar>
              <w:top w:w="15" w:type="dxa"/>
              <w:left w:w="15" w:type="dxa"/>
              <w:right w:w="15" w:type="dxa"/>
            </w:tcMar>
            <w:vAlign w:val="center"/>
          </w:tcPr>
          <w:p>
            <w:pPr>
              <w:rPr>
                <w:rFonts w:hint="default" w:ascii="Arial" w:hAnsi="Arial" w:eastAsia="宋体" w:cs="Arial"/>
                <w:i w:val="0"/>
                <w:color w:val="000000"/>
                <w:sz w:val="20"/>
                <w:szCs w:val="20"/>
                <w:highlight w:val="none"/>
                <w:u w:val="none"/>
              </w:rPr>
            </w:pPr>
          </w:p>
        </w:tc>
        <w:tc>
          <w:tcPr>
            <w:tcW w:w="2047" w:type="dxa"/>
            <w:tcBorders>
              <w:top w:val="nil"/>
              <w:left w:val="nil"/>
              <w:bottom w:val="nil"/>
              <w:right w:val="nil"/>
            </w:tcBorders>
            <w:noWrap w:val="0"/>
            <w:tcMar>
              <w:top w:w="15" w:type="dxa"/>
              <w:left w:w="15" w:type="dxa"/>
              <w:right w:w="15" w:type="dxa"/>
            </w:tcMar>
            <w:vAlign w:val="center"/>
          </w:tcPr>
          <w:p>
            <w:pPr>
              <w:rPr>
                <w:rFonts w:hint="default" w:ascii="Arial" w:hAnsi="Arial" w:eastAsia="宋体" w:cs="Arial"/>
                <w:i w:val="0"/>
                <w:color w:val="000000"/>
                <w:sz w:val="20"/>
                <w:szCs w:val="20"/>
                <w:highlight w:val="none"/>
                <w:u w:val="none"/>
              </w:rPr>
            </w:pPr>
          </w:p>
        </w:tc>
        <w:tc>
          <w:tcPr>
            <w:tcW w:w="1146" w:type="dxa"/>
            <w:tcBorders>
              <w:top w:val="nil"/>
              <w:left w:val="nil"/>
              <w:bottom w:val="nil"/>
              <w:right w:val="nil"/>
            </w:tcBorders>
            <w:noWrap w:val="0"/>
            <w:tcMar>
              <w:top w:w="15" w:type="dxa"/>
              <w:left w:w="15" w:type="dxa"/>
              <w:right w:w="15" w:type="dxa"/>
            </w:tcMar>
            <w:vAlign w:val="center"/>
          </w:tcPr>
          <w:p>
            <w:pPr>
              <w:rPr>
                <w:rFonts w:hint="default" w:ascii="Arial" w:hAnsi="Arial" w:eastAsia="宋体" w:cs="Arial"/>
                <w:i w:val="0"/>
                <w:color w:val="000000"/>
                <w:sz w:val="20"/>
                <w:szCs w:val="20"/>
                <w:highlight w:val="none"/>
                <w:u w:val="none"/>
              </w:rPr>
            </w:pPr>
          </w:p>
        </w:tc>
        <w:tc>
          <w:tcPr>
            <w:tcW w:w="1089" w:type="dxa"/>
            <w:tcBorders>
              <w:top w:val="nil"/>
              <w:left w:val="nil"/>
              <w:bottom w:val="nil"/>
              <w:right w:val="nil"/>
            </w:tcBorders>
            <w:noWrap w:val="0"/>
            <w:tcMar>
              <w:top w:w="15" w:type="dxa"/>
              <w:left w:w="15" w:type="dxa"/>
              <w:right w:w="15" w:type="dxa"/>
            </w:tcMar>
            <w:vAlign w:val="center"/>
          </w:tcPr>
          <w:p>
            <w:pPr>
              <w:rPr>
                <w:rFonts w:hint="default" w:ascii="Arial" w:hAnsi="Arial" w:eastAsia="宋体" w:cs="Arial"/>
                <w:i w:val="0"/>
                <w:color w:val="000000"/>
                <w:sz w:val="20"/>
                <w:szCs w:val="20"/>
                <w:highlight w:val="none"/>
                <w:u w:val="none"/>
              </w:rPr>
            </w:pPr>
          </w:p>
        </w:tc>
        <w:tc>
          <w:tcPr>
            <w:tcW w:w="2645" w:type="dxa"/>
            <w:tcBorders>
              <w:top w:val="nil"/>
              <w:left w:val="nil"/>
              <w:bottom w:val="nil"/>
              <w:right w:val="nil"/>
            </w:tcBorders>
            <w:noWrap w:val="0"/>
            <w:tcMar>
              <w:top w:w="15" w:type="dxa"/>
              <w:left w:w="15" w:type="dxa"/>
              <w:right w:w="15" w:type="dxa"/>
            </w:tcMar>
            <w:vAlign w:val="center"/>
          </w:tcPr>
          <w:p>
            <w:pPr>
              <w:rPr>
                <w:rFonts w:hint="default" w:ascii="Arial" w:hAnsi="Arial" w:eastAsia="宋体" w:cs="Arial"/>
                <w:i w:val="0"/>
                <w:color w:val="000000"/>
                <w:sz w:val="20"/>
                <w:szCs w:val="20"/>
                <w:highlight w:val="none"/>
                <w:u w:val="none"/>
              </w:rPr>
            </w:pPr>
          </w:p>
        </w:tc>
        <w:tc>
          <w:tcPr>
            <w:tcW w:w="1062"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trPr>
        <w:tc>
          <w:tcPr>
            <w:tcW w:w="997"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经济分类科目编码</w:t>
            </w:r>
          </w:p>
        </w:tc>
        <w:tc>
          <w:tcPr>
            <w:tcW w:w="2689"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科目名称</w:t>
            </w:r>
          </w:p>
        </w:tc>
        <w:tc>
          <w:tcPr>
            <w:tcW w:w="1267"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决算数</w:t>
            </w:r>
          </w:p>
        </w:tc>
        <w:tc>
          <w:tcPr>
            <w:tcW w:w="1046"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经济分类科目编码</w:t>
            </w:r>
          </w:p>
        </w:tc>
        <w:tc>
          <w:tcPr>
            <w:tcW w:w="2047"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科目名称</w:t>
            </w:r>
          </w:p>
        </w:tc>
        <w:tc>
          <w:tcPr>
            <w:tcW w:w="1146"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决算数</w:t>
            </w:r>
          </w:p>
        </w:tc>
        <w:tc>
          <w:tcPr>
            <w:tcW w:w="1089"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经济分类科目编码</w:t>
            </w:r>
          </w:p>
        </w:tc>
        <w:tc>
          <w:tcPr>
            <w:tcW w:w="2645"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科目名称</w:t>
            </w:r>
          </w:p>
        </w:tc>
        <w:tc>
          <w:tcPr>
            <w:tcW w:w="1062"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99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301</w:t>
            </w:r>
          </w:p>
        </w:tc>
        <w:tc>
          <w:tcPr>
            <w:tcW w:w="2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工资福利支出</w:t>
            </w: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301.25</w:t>
            </w:r>
          </w:p>
        </w:tc>
        <w:tc>
          <w:tcPr>
            <w:tcW w:w="10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302</w:t>
            </w:r>
          </w:p>
        </w:tc>
        <w:tc>
          <w:tcPr>
            <w:tcW w:w="20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商品和服务支出</w:t>
            </w:r>
          </w:p>
        </w:tc>
        <w:tc>
          <w:tcPr>
            <w:tcW w:w="1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66.70</w:t>
            </w:r>
          </w:p>
        </w:tc>
        <w:tc>
          <w:tcPr>
            <w:tcW w:w="10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307</w:t>
            </w:r>
          </w:p>
        </w:tc>
        <w:tc>
          <w:tcPr>
            <w:tcW w:w="2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债务利息及费用支出</w:t>
            </w:r>
          </w:p>
        </w:tc>
        <w:tc>
          <w:tcPr>
            <w:tcW w:w="106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99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30101</w:t>
            </w:r>
          </w:p>
        </w:tc>
        <w:tc>
          <w:tcPr>
            <w:tcW w:w="2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基本工资</w:t>
            </w: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90.34</w:t>
            </w:r>
          </w:p>
        </w:tc>
        <w:tc>
          <w:tcPr>
            <w:tcW w:w="10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30201</w:t>
            </w:r>
          </w:p>
        </w:tc>
        <w:tc>
          <w:tcPr>
            <w:tcW w:w="20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办公费</w:t>
            </w:r>
          </w:p>
        </w:tc>
        <w:tc>
          <w:tcPr>
            <w:tcW w:w="1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5.29</w:t>
            </w:r>
          </w:p>
        </w:tc>
        <w:tc>
          <w:tcPr>
            <w:tcW w:w="10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30701</w:t>
            </w:r>
          </w:p>
        </w:tc>
        <w:tc>
          <w:tcPr>
            <w:tcW w:w="2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国内债务付息</w:t>
            </w:r>
          </w:p>
        </w:tc>
        <w:tc>
          <w:tcPr>
            <w:tcW w:w="106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99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30102</w:t>
            </w:r>
          </w:p>
        </w:tc>
        <w:tc>
          <w:tcPr>
            <w:tcW w:w="2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津贴补贴</w:t>
            </w: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57.74</w:t>
            </w:r>
          </w:p>
        </w:tc>
        <w:tc>
          <w:tcPr>
            <w:tcW w:w="10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30202</w:t>
            </w:r>
          </w:p>
        </w:tc>
        <w:tc>
          <w:tcPr>
            <w:tcW w:w="20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印刷费</w:t>
            </w:r>
          </w:p>
        </w:tc>
        <w:tc>
          <w:tcPr>
            <w:tcW w:w="1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p>
        </w:tc>
        <w:tc>
          <w:tcPr>
            <w:tcW w:w="10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30702</w:t>
            </w:r>
          </w:p>
        </w:tc>
        <w:tc>
          <w:tcPr>
            <w:tcW w:w="2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国外债务付息</w:t>
            </w:r>
          </w:p>
        </w:tc>
        <w:tc>
          <w:tcPr>
            <w:tcW w:w="106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99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30103</w:t>
            </w:r>
          </w:p>
        </w:tc>
        <w:tc>
          <w:tcPr>
            <w:tcW w:w="2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奖金</w:t>
            </w: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87.88</w:t>
            </w:r>
          </w:p>
        </w:tc>
        <w:tc>
          <w:tcPr>
            <w:tcW w:w="10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30203</w:t>
            </w:r>
          </w:p>
        </w:tc>
        <w:tc>
          <w:tcPr>
            <w:tcW w:w="20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咨询费</w:t>
            </w:r>
          </w:p>
        </w:tc>
        <w:tc>
          <w:tcPr>
            <w:tcW w:w="1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0.49</w:t>
            </w:r>
          </w:p>
        </w:tc>
        <w:tc>
          <w:tcPr>
            <w:tcW w:w="10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310</w:t>
            </w:r>
          </w:p>
        </w:tc>
        <w:tc>
          <w:tcPr>
            <w:tcW w:w="2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资本性支出</w:t>
            </w:r>
          </w:p>
        </w:tc>
        <w:tc>
          <w:tcPr>
            <w:tcW w:w="106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99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30106</w:t>
            </w:r>
          </w:p>
        </w:tc>
        <w:tc>
          <w:tcPr>
            <w:tcW w:w="2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伙食补助费</w:t>
            </w: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p>
        </w:tc>
        <w:tc>
          <w:tcPr>
            <w:tcW w:w="10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30204</w:t>
            </w:r>
          </w:p>
        </w:tc>
        <w:tc>
          <w:tcPr>
            <w:tcW w:w="20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手续费</w:t>
            </w:r>
          </w:p>
        </w:tc>
        <w:tc>
          <w:tcPr>
            <w:tcW w:w="1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p>
        </w:tc>
        <w:tc>
          <w:tcPr>
            <w:tcW w:w="10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31001</w:t>
            </w:r>
          </w:p>
        </w:tc>
        <w:tc>
          <w:tcPr>
            <w:tcW w:w="2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房屋建筑物购建</w:t>
            </w:r>
          </w:p>
        </w:tc>
        <w:tc>
          <w:tcPr>
            <w:tcW w:w="106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99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30107</w:t>
            </w:r>
          </w:p>
        </w:tc>
        <w:tc>
          <w:tcPr>
            <w:tcW w:w="2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绩效工资</w:t>
            </w: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p>
        </w:tc>
        <w:tc>
          <w:tcPr>
            <w:tcW w:w="10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30205</w:t>
            </w:r>
          </w:p>
        </w:tc>
        <w:tc>
          <w:tcPr>
            <w:tcW w:w="20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水费</w:t>
            </w:r>
          </w:p>
        </w:tc>
        <w:tc>
          <w:tcPr>
            <w:tcW w:w="1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p>
        </w:tc>
        <w:tc>
          <w:tcPr>
            <w:tcW w:w="10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31002</w:t>
            </w:r>
          </w:p>
        </w:tc>
        <w:tc>
          <w:tcPr>
            <w:tcW w:w="2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办公设备购置</w:t>
            </w:r>
          </w:p>
        </w:tc>
        <w:tc>
          <w:tcPr>
            <w:tcW w:w="106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99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30108</w:t>
            </w:r>
          </w:p>
        </w:tc>
        <w:tc>
          <w:tcPr>
            <w:tcW w:w="2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机关事业单位基本养老保险缴费</w:t>
            </w: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21.65</w:t>
            </w:r>
          </w:p>
        </w:tc>
        <w:tc>
          <w:tcPr>
            <w:tcW w:w="10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30206</w:t>
            </w:r>
          </w:p>
        </w:tc>
        <w:tc>
          <w:tcPr>
            <w:tcW w:w="20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电费</w:t>
            </w:r>
          </w:p>
        </w:tc>
        <w:tc>
          <w:tcPr>
            <w:tcW w:w="1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p>
        </w:tc>
        <w:tc>
          <w:tcPr>
            <w:tcW w:w="10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31003</w:t>
            </w:r>
          </w:p>
        </w:tc>
        <w:tc>
          <w:tcPr>
            <w:tcW w:w="2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专用设备购置</w:t>
            </w:r>
          </w:p>
        </w:tc>
        <w:tc>
          <w:tcPr>
            <w:tcW w:w="106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99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30109</w:t>
            </w:r>
          </w:p>
        </w:tc>
        <w:tc>
          <w:tcPr>
            <w:tcW w:w="2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职业年金缴费</w:t>
            </w: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p>
        </w:tc>
        <w:tc>
          <w:tcPr>
            <w:tcW w:w="10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30207</w:t>
            </w:r>
          </w:p>
        </w:tc>
        <w:tc>
          <w:tcPr>
            <w:tcW w:w="20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邮电费</w:t>
            </w:r>
          </w:p>
        </w:tc>
        <w:tc>
          <w:tcPr>
            <w:tcW w:w="1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1.65</w:t>
            </w:r>
          </w:p>
        </w:tc>
        <w:tc>
          <w:tcPr>
            <w:tcW w:w="10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31005</w:t>
            </w:r>
          </w:p>
        </w:tc>
        <w:tc>
          <w:tcPr>
            <w:tcW w:w="2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基础设施建设</w:t>
            </w:r>
          </w:p>
        </w:tc>
        <w:tc>
          <w:tcPr>
            <w:tcW w:w="106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99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30110</w:t>
            </w:r>
          </w:p>
        </w:tc>
        <w:tc>
          <w:tcPr>
            <w:tcW w:w="2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职工基本医疗保险缴费</w:t>
            </w: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8.80</w:t>
            </w:r>
          </w:p>
        </w:tc>
        <w:tc>
          <w:tcPr>
            <w:tcW w:w="10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30208</w:t>
            </w:r>
          </w:p>
        </w:tc>
        <w:tc>
          <w:tcPr>
            <w:tcW w:w="20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取暖费</w:t>
            </w:r>
          </w:p>
        </w:tc>
        <w:tc>
          <w:tcPr>
            <w:tcW w:w="1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p>
        </w:tc>
        <w:tc>
          <w:tcPr>
            <w:tcW w:w="10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31006</w:t>
            </w:r>
          </w:p>
        </w:tc>
        <w:tc>
          <w:tcPr>
            <w:tcW w:w="2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大型修缮</w:t>
            </w:r>
          </w:p>
        </w:tc>
        <w:tc>
          <w:tcPr>
            <w:tcW w:w="106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99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30111</w:t>
            </w:r>
          </w:p>
        </w:tc>
        <w:tc>
          <w:tcPr>
            <w:tcW w:w="2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公务员医疗补助缴费</w:t>
            </w: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p>
        </w:tc>
        <w:tc>
          <w:tcPr>
            <w:tcW w:w="10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30209</w:t>
            </w:r>
          </w:p>
        </w:tc>
        <w:tc>
          <w:tcPr>
            <w:tcW w:w="20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物业管理费</w:t>
            </w:r>
          </w:p>
        </w:tc>
        <w:tc>
          <w:tcPr>
            <w:tcW w:w="1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p>
        </w:tc>
        <w:tc>
          <w:tcPr>
            <w:tcW w:w="10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31007</w:t>
            </w:r>
          </w:p>
        </w:tc>
        <w:tc>
          <w:tcPr>
            <w:tcW w:w="2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信息网络及软件购置更新</w:t>
            </w:r>
          </w:p>
        </w:tc>
        <w:tc>
          <w:tcPr>
            <w:tcW w:w="106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99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30112</w:t>
            </w:r>
          </w:p>
        </w:tc>
        <w:tc>
          <w:tcPr>
            <w:tcW w:w="2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其他社会保障缴费</w:t>
            </w: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0.55</w:t>
            </w:r>
          </w:p>
        </w:tc>
        <w:tc>
          <w:tcPr>
            <w:tcW w:w="10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30211</w:t>
            </w:r>
          </w:p>
        </w:tc>
        <w:tc>
          <w:tcPr>
            <w:tcW w:w="20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差旅费</w:t>
            </w:r>
          </w:p>
        </w:tc>
        <w:tc>
          <w:tcPr>
            <w:tcW w:w="1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9.57</w:t>
            </w:r>
          </w:p>
        </w:tc>
        <w:tc>
          <w:tcPr>
            <w:tcW w:w="10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31008</w:t>
            </w:r>
          </w:p>
        </w:tc>
        <w:tc>
          <w:tcPr>
            <w:tcW w:w="2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物资储备</w:t>
            </w:r>
          </w:p>
        </w:tc>
        <w:tc>
          <w:tcPr>
            <w:tcW w:w="106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99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30113</w:t>
            </w:r>
          </w:p>
        </w:tc>
        <w:tc>
          <w:tcPr>
            <w:tcW w:w="2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住房公积金</w:t>
            </w: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24.94</w:t>
            </w:r>
          </w:p>
        </w:tc>
        <w:tc>
          <w:tcPr>
            <w:tcW w:w="10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30212</w:t>
            </w:r>
          </w:p>
        </w:tc>
        <w:tc>
          <w:tcPr>
            <w:tcW w:w="20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因公出国（境）费用</w:t>
            </w:r>
          </w:p>
        </w:tc>
        <w:tc>
          <w:tcPr>
            <w:tcW w:w="1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p>
        </w:tc>
        <w:tc>
          <w:tcPr>
            <w:tcW w:w="10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31009</w:t>
            </w:r>
          </w:p>
        </w:tc>
        <w:tc>
          <w:tcPr>
            <w:tcW w:w="2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土地补偿</w:t>
            </w:r>
          </w:p>
        </w:tc>
        <w:tc>
          <w:tcPr>
            <w:tcW w:w="106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99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30114</w:t>
            </w:r>
          </w:p>
        </w:tc>
        <w:tc>
          <w:tcPr>
            <w:tcW w:w="2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医疗费</w:t>
            </w: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p>
        </w:tc>
        <w:tc>
          <w:tcPr>
            <w:tcW w:w="10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30213</w:t>
            </w:r>
          </w:p>
        </w:tc>
        <w:tc>
          <w:tcPr>
            <w:tcW w:w="20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维修（护）费</w:t>
            </w:r>
          </w:p>
        </w:tc>
        <w:tc>
          <w:tcPr>
            <w:tcW w:w="1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49.70</w:t>
            </w:r>
          </w:p>
        </w:tc>
        <w:tc>
          <w:tcPr>
            <w:tcW w:w="10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31010</w:t>
            </w:r>
          </w:p>
        </w:tc>
        <w:tc>
          <w:tcPr>
            <w:tcW w:w="2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安置补助</w:t>
            </w:r>
          </w:p>
        </w:tc>
        <w:tc>
          <w:tcPr>
            <w:tcW w:w="106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99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30199</w:t>
            </w:r>
          </w:p>
        </w:tc>
        <w:tc>
          <w:tcPr>
            <w:tcW w:w="2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其他工资福利支出</w:t>
            </w: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9.36</w:t>
            </w:r>
          </w:p>
        </w:tc>
        <w:tc>
          <w:tcPr>
            <w:tcW w:w="10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30214</w:t>
            </w:r>
          </w:p>
        </w:tc>
        <w:tc>
          <w:tcPr>
            <w:tcW w:w="20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租赁费</w:t>
            </w:r>
          </w:p>
        </w:tc>
        <w:tc>
          <w:tcPr>
            <w:tcW w:w="1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p>
        </w:tc>
        <w:tc>
          <w:tcPr>
            <w:tcW w:w="10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31011</w:t>
            </w:r>
          </w:p>
        </w:tc>
        <w:tc>
          <w:tcPr>
            <w:tcW w:w="2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地上附着物和青苗补偿</w:t>
            </w:r>
          </w:p>
        </w:tc>
        <w:tc>
          <w:tcPr>
            <w:tcW w:w="106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99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303</w:t>
            </w:r>
          </w:p>
        </w:tc>
        <w:tc>
          <w:tcPr>
            <w:tcW w:w="2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对个人和家庭的补助</w:t>
            </w: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42.91</w:t>
            </w:r>
          </w:p>
        </w:tc>
        <w:tc>
          <w:tcPr>
            <w:tcW w:w="10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30215</w:t>
            </w:r>
          </w:p>
        </w:tc>
        <w:tc>
          <w:tcPr>
            <w:tcW w:w="20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会议费</w:t>
            </w:r>
          </w:p>
        </w:tc>
        <w:tc>
          <w:tcPr>
            <w:tcW w:w="1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p>
        </w:tc>
        <w:tc>
          <w:tcPr>
            <w:tcW w:w="10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31012</w:t>
            </w:r>
          </w:p>
        </w:tc>
        <w:tc>
          <w:tcPr>
            <w:tcW w:w="2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拆迁补偿</w:t>
            </w:r>
          </w:p>
        </w:tc>
        <w:tc>
          <w:tcPr>
            <w:tcW w:w="106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99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30301</w:t>
            </w:r>
          </w:p>
        </w:tc>
        <w:tc>
          <w:tcPr>
            <w:tcW w:w="2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离休费</w:t>
            </w: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p>
        </w:tc>
        <w:tc>
          <w:tcPr>
            <w:tcW w:w="10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30216</w:t>
            </w:r>
          </w:p>
        </w:tc>
        <w:tc>
          <w:tcPr>
            <w:tcW w:w="20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培训费</w:t>
            </w:r>
          </w:p>
        </w:tc>
        <w:tc>
          <w:tcPr>
            <w:tcW w:w="1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p>
        </w:tc>
        <w:tc>
          <w:tcPr>
            <w:tcW w:w="10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31013</w:t>
            </w:r>
          </w:p>
        </w:tc>
        <w:tc>
          <w:tcPr>
            <w:tcW w:w="2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公务用车购置</w:t>
            </w:r>
          </w:p>
        </w:tc>
        <w:tc>
          <w:tcPr>
            <w:tcW w:w="106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99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30302</w:t>
            </w:r>
          </w:p>
        </w:tc>
        <w:tc>
          <w:tcPr>
            <w:tcW w:w="2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退休费</w:t>
            </w: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42.91</w:t>
            </w:r>
          </w:p>
        </w:tc>
        <w:tc>
          <w:tcPr>
            <w:tcW w:w="10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30217</w:t>
            </w:r>
          </w:p>
        </w:tc>
        <w:tc>
          <w:tcPr>
            <w:tcW w:w="20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公务接待费</w:t>
            </w:r>
          </w:p>
        </w:tc>
        <w:tc>
          <w:tcPr>
            <w:tcW w:w="1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p>
        </w:tc>
        <w:tc>
          <w:tcPr>
            <w:tcW w:w="10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bidi="ar"/>
              </w:rPr>
              <w:t>31019</w:t>
            </w:r>
          </w:p>
        </w:tc>
        <w:tc>
          <w:tcPr>
            <w:tcW w:w="2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其他交通工具购置</w:t>
            </w:r>
          </w:p>
        </w:tc>
        <w:tc>
          <w:tcPr>
            <w:tcW w:w="106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99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30303</w:t>
            </w:r>
          </w:p>
        </w:tc>
        <w:tc>
          <w:tcPr>
            <w:tcW w:w="2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退职（役）费</w:t>
            </w: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0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30218</w:t>
            </w:r>
          </w:p>
        </w:tc>
        <w:tc>
          <w:tcPr>
            <w:tcW w:w="20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专用材料费</w:t>
            </w:r>
          </w:p>
        </w:tc>
        <w:tc>
          <w:tcPr>
            <w:tcW w:w="1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p>
        </w:tc>
        <w:tc>
          <w:tcPr>
            <w:tcW w:w="10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bidi="ar"/>
              </w:rPr>
              <w:t>31021</w:t>
            </w:r>
          </w:p>
        </w:tc>
        <w:tc>
          <w:tcPr>
            <w:tcW w:w="2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文物和陈列品购置</w:t>
            </w:r>
          </w:p>
        </w:tc>
        <w:tc>
          <w:tcPr>
            <w:tcW w:w="106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2" w:hRule="atLeast"/>
        </w:trPr>
        <w:tc>
          <w:tcPr>
            <w:tcW w:w="99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30304</w:t>
            </w:r>
          </w:p>
        </w:tc>
        <w:tc>
          <w:tcPr>
            <w:tcW w:w="2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抚恤金</w:t>
            </w: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0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30224</w:t>
            </w:r>
          </w:p>
        </w:tc>
        <w:tc>
          <w:tcPr>
            <w:tcW w:w="20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被装购置费</w:t>
            </w:r>
          </w:p>
        </w:tc>
        <w:tc>
          <w:tcPr>
            <w:tcW w:w="1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p>
        </w:tc>
        <w:tc>
          <w:tcPr>
            <w:tcW w:w="10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bidi="ar"/>
              </w:rPr>
              <w:t>31022</w:t>
            </w:r>
          </w:p>
        </w:tc>
        <w:tc>
          <w:tcPr>
            <w:tcW w:w="2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无形资产购置</w:t>
            </w:r>
          </w:p>
        </w:tc>
        <w:tc>
          <w:tcPr>
            <w:tcW w:w="106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99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30305</w:t>
            </w:r>
          </w:p>
        </w:tc>
        <w:tc>
          <w:tcPr>
            <w:tcW w:w="2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生活补助</w:t>
            </w: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iCs w:val="0"/>
                <w:color w:val="000000"/>
                <w:kern w:val="2"/>
                <w:sz w:val="22"/>
                <w:szCs w:val="22"/>
                <w:highlight w:val="none"/>
                <w:u w:val="none"/>
                <w:lang w:val="en-US" w:eastAsia="zh-CN" w:bidi="ar-SA"/>
              </w:rPr>
            </w:pPr>
          </w:p>
        </w:tc>
        <w:tc>
          <w:tcPr>
            <w:tcW w:w="10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30225</w:t>
            </w:r>
          </w:p>
        </w:tc>
        <w:tc>
          <w:tcPr>
            <w:tcW w:w="20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专用燃料费</w:t>
            </w:r>
          </w:p>
        </w:tc>
        <w:tc>
          <w:tcPr>
            <w:tcW w:w="1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p>
        </w:tc>
        <w:tc>
          <w:tcPr>
            <w:tcW w:w="10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bidi="ar"/>
              </w:rPr>
              <w:t>31099</w:t>
            </w:r>
          </w:p>
        </w:tc>
        <w:tc>
          <w:tcPr>
            <w:tcW w:w="2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其他资本性支出</w:t>
            </w:r>
          </w:p>
        </w:tc>
        <w:tc>
          <w:tcPr>
            <w:tcW w:w="106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99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30306</w:t>
            </w:r>
          </w:p>
        </w:tc>
        <w:tc>
          <w:tcPr>
            <w:tcW w:w="2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救济费</w:t>
            </w: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0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30226</w:t>
            </w:r>
          </w:p>
        </w:tc>
        <w:tc>
          <w:tcPr>
            <w:tcW w:w="20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劳务费</w:t>
            </w:r>
          </w:p>
        </w:tc>
        <w:tc>
          <w:tcPr>
            <w:tcW w:w="1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p>
        </w:tc>
        <w:tc>
          <w:tcPr>
            <w:tcW w:w="10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bidi="ar"/>
              </w:rPr>
              <w:t>399</w:t>
            </w:r>
          </w:p>
        </w:tc>
        <w:tc>
          <w:tcPr>
            <w:tcW w:w="2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其他支出</w:t>
            </w:r>
          </w:p>
        </w:tc>
        <w:tc>
          <w:tcPr>
            <w:tcW w:w="106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99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30307</w:t>
            </w:r>
          </w:p>
        </w:tc>
        <w:tc>
          <w:tcPr>
            <w:tcW w:w="2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医疗费补助</w:t>
            </w: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0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30227</w:t>
            </w:r>
          </w:p>
        </w:tc>
        <w:tc>
          <w:tcPr>
            <w:tcW w:w="20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委托业务费</w:t>
            </w:r>
          </w:p>
        </w:tc>
        <w:tc>
          <w:tcPr>
            <w:tcW w:w="1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p>
        </w:tc>
        <w:tc>
          <w:tcPr>
            <w:tcW w:w="10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bidi="ar"/>
              </w:rPr>
              <w:t>39906</w:t>
            </w:r>
          </w:p>
        </w:tc>
        <w:tc>
          <w:tcPr>
            <w:tcW w:w="2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赠与</w:t>
            </w:r>
          </w:p>
        </w:tc>
        <w:tc>
          <w:tcPr>
            <w:tcW w:w="106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99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30308</w:t>
            </w:r>
          </w:p>
        </w:tc>
        <w:tc>
          <w:tcPr>
            <w:tcW w:w="2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助学金</w:t>
            </w: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0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30228</w:t>
            </w:r>
          </w:p>
        </w:tc>
        <w:tc>
          <w:tcPr>
            <w:tcW w:w="20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工会经费</w:t>
            </w:r>
          </w:p>
        </w:tc>
        <w:tc>
          <w:tcPr>
            <w:tcW w:w="1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p>
        </w:tc>
        <w:tc>
          <w:tcPr>
            <w:tcW w:w="10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bidi="ar"/>
              </w:rPr>
              <w:t>39907</w:t>
            </w:r>
          </w:p>
        </w:tc>
        <w:tc>
          <w:tcPr>
            <w:tcW w:w="2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国家赔偿费用支出</w:t>
            </w:r>
          </w:p>
        </w:tc>
        <w:tc>
          <w:tcPr>
            <w:tcW w:w="106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99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30309</w:t>
            </w:r>
          </w:p>
        </w:tc>
        <w:tc>
          <w:tcPr>
            <w:tcW w:w="2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奖励金</w:t>
            </w: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0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30229</w:t>
            </w:r>
          </w:p>
        </w:tc>
        <w:tc>
          <w:tcPr>
            <w:tcW w:w="20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福利费</w:t>
            </w:r>
          </w:p>
        </w:tc>
        <w:tc>
          <w:tcPr>
            <w:tcW w:w="1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p>
        </w:tc>
        <w:tc>
          <w:tcPr>
            <w:tcW w:w="10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bidi="ar"/>
              </w:rPr>
              <w:t>39908</w:t>
            </w:r>
          </w:p>
        </w:tc>
        <w:tc>
          <w:tcPr>
            <w:tcW w:w="2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对民间非营利组织和群众性自治组织补贴</w:t>
            </w:r>
          </w:p>
        </w:tc>
        <w:tc>
          <w:tcPr>
            <w:tcW w:w="106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99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30310</w:t>
            </w:r>
          </w:p>
        </w:tc>
        <w:tc>
          <w:tcPr>
            <w:tcW w:w="2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个人农业生产补贴</w:t>
            </w: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0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30231</w:t>
            </w:r>
          </w:p>
        </w:tc>
        <w:tc>
          <w:tcPr>
            <w:tcW w:w="20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公务用车运行维护费</w:t>
            </w:r>
          </w:p>
        </w:tc>
        <w:tc>
          <w:tcPr>
            <w:tcW w:w="1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p>
        </w:tc>
        <w:tc>
          <w:tcPr>
            <w:tcW w:w="10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bidi="ar"/>
              </w:rPr>
              <w:t>39999</w:t>
            </w:r>
          </w:p>
        </w:tc>
        <w:tc>
          <w:tcPr>
            <w:tcW w:w="2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其他支出</w:t>
            </w:r>
          </w:p>
        </w:tc>
        <w:tc>
          <w:tcPr>
            <w:tcW w:w="106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99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30311</w:t>
            </w:r>
          </w:p>
        </w:tc>
        <w:tc>
          <w:tcPr>
            <w:tcW w:w="2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代缴社会保险费</w:t>
            </w: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0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30239</w:t>
            </w:r>
          </w:p>
        </w:tc>
        <w:tc>
          <w:tcPr>
            <w:tcW w:w="20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其他交通费用</w:t>
            </w:r>
          </w:p>
        </w:tc>
        <w:tc>
          <w:tcPr>
            <w:tcW w:w="1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p>
        </w:tc>
        <w:tc>
          <w:tcPr>
            <w:tcW w:w="10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p>
        </w:tc>
        <w:tc>
          <w:tcPr>
            <w:tcW w:w="2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p>
        </w:tc>
        <w:tc>
          <w:tcPr>
            <w:tcW w:w="106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99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30399</w:t>
            </w:r>
          </w:p>
        </w:tc>
        <w:tc>
          <w:tcPr>
            <w:tcW w:w="2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其他对个人和家庭的补助</w:t>
            </w: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0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30240</w:t>
            </w:r>
          </w:p>
        </w:tc>
        <w:tc>
          <w:tcPr>
            <w:tcW w:w="20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税金及附加费用</w:t>
            </w:r>
          </w:p>
        </w:tc>
        <w:tc>
          <w:tcPr>
            <w:tcW w:w="1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p>
        </w:tc>
        <w:tc>
          <w:tcPr>
            <w:tcW w:w="10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p>
        </w:tc>
        <w:tc>
          <w:tcPr>
            <w:tcW w:w="2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p>
        </w:tc>
        <w:tc>
          <w:tcPr>
            <w:tcW w:w="106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99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2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0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30299</w:t>
            </w:r>
          </w:p>
        </w:tc>
        <w:tc>
          <w:tcPr>
            <w:tcW w:w="20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其他商品和服务支出</w:t>
            </w:r>
          </w:p>
        </w:tc>
        <w:tc>
          <w:tcPr>
            <w:tcW w:w="1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p>
        </w:tc>
        <w:tc>
          <w:tcPr>
            <w:tcW w:w="10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p>
        </w:tc>
        <w:tc>
          <w:tcPr>
            <w:tcW w:w="2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p>
        </w:tc>
        <w:tc>
          <w:tcPr>
            <w:tcW w:w="106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3686"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人员经费合计</w:t>
            </w:r>
          </w:p>
        </w:tc>
        <w:tc>
          <w:tcPr>
            <w:tcW w:w="1267"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344.16</w:t>
            </w:r>
          </w:p>
        </w:tc>
        <w:tc>
          <w:tcPr>
            <w:tcW w:w="7973" w:type="dxa"/>
            <w:gridSpan w:val="5"/>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公用经费合计</w:t>
            </w:r>
          </w:p>
        </w:tc>
        <w:tc>
          <w:tcPr>
            <w:tcW w:w="1062"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66.70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13988" w:type="dxa"/>
            <w:gridSpan w:val="9"/>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注：本表反映部门本年度一般公共预算财政拨款基本支出明细情况。本表金额转换为万元时，因四舍五入可能存在尾差。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151"/>
        <w:gridCol w:w="1149"/>
        <w:gridCol w:w="1150"/>
        <w:gridCol w:w="1150"/>
        <w:gridCol w:w="1151"/>
        <w:gridCol w:w="1150"/>
        <w:gridCol w:w="1151"/>
        <w:gridCol w:w="1151"/>
        <w:gridCol w:w="1151"/>
        <w:gridCol w:w="1151"/>
        <w:gridCol w:w="1151"/>
        <w:gridCol w:w="11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3807" w:type="dxa"/>
            <w:gridSpan w:val="12"/>
            <w:tcBorders>
              <w:top w:val="nil"/>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highlight w:val="none"/>
                <w:u w:val="none"/>
              </w:rPr>
            </w:pPr>
            <w:r>
              <w:rPr>
                <w:rFonts w:hint="eastAsia" w:ascii="华文中宋" w:hAnsi="华文中宋" w:eastAsia="华文中宋" w:cs="华文中宋"/>
                <w:i w:val="0"/>
                <w:color w:val="000000"/>
                <w:kern w:val="0"/>
                <w:sz w:val="30"/>
                <w:szCs w:val="30"/>
                <w:highlight w:val="none"/>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2" w:hRule="atLeast"/>
        </w:trPr>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149"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4600" w:type="dxa"/>
            <w:gridSpan w:val="4"/>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部门：许昌市建安区住房和城乡建设局</w:t>
            </w:r>
            <w:r>
              <w:rPr>
                <w:rFonts w:hint="eastAsia" w:ascii="宋体" w:hAnsi="宋体" w:eastAsia="宋体" w:cs="宋体"/>
                <w:i w:val="0"/>
                <w:iCs w:val="0"/>
                <w:color w:val="000000"/>
                <w:kern w:val="0"/>
                <w:sz w:val="20"/>
                <w:szCs w:val="20"/>
                <w:highlight w:val="none"/>
                <w:u w:val="none"/>
                <w:lang w:val="en-US" w:eastAsia="zh-CN" w:bidi="ar"/>
              </w:rPr>
              <w:t>（本级）</w:t>
            </w: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150"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9" w:hRule="atLeast"/>
        </w:trPr>
        <w:tc>
          <w:tcPr>
            <w:tcW w:w="6901" w:type="dxa"/>
            <w:gridSpan w:val="6"/>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预算数</w:t>
            </w:r>
          </w:p>
        </w:tc>
        <w:tc>
          <w:tcPr>
            <w:tcW w:w="6906" w:type="dxa"/>
            <w:gridSpan w:val="6"/>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151" w:type="dxa"/>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合计</w:t>
            </w:r>
          </w:p>
        </w:tc>
        <w:tc>
          <w:tcPr>
            <w:tcW w:w="11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因公出国（境）费</w:t>
            </w:r>
          </w:p>
        </w:tc>
        <w:tc>
          <w:tcPr>
            <w:tcW w:w="345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公务用车购置及运行费</w:t>
            </w:r>
          </w:p>
        </w:tc>
        <w:tc>
          <w:tcPr>
            <w:tcW w:w="11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公务接待费</w:t>
            </w:r>
          </w:p>
        </w:tc>
        <w:tc>
          <w:tcPr>
            <w:tcW w:w="1151"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合计</w:t>
            </w:r>
          </w:p>
        </w:tc>
        <w:tc>
          <w:tcPr>
            <w:tcW w:w="115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因公出国（境）费</w:t>
            </w:r>
          </w:p>
        </w:tc>
        <w:tc>
          <w:tcPr>
            <w:tcW w:w="345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公务用车购置及运行费</w:t>
            </w:r>
          </w:p>
        </w:tc>
        <w:tc>
          <w:tcPr>
            <w:tcW w:w="1151" w:type="dxa"/>
            <w:vMerge w:val="restart"/>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151"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1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1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小计</w:t>
            </w:r>
          </w:p>
        </w:tc>
        <w:tc>
          <w:tcPr>
            <w:tcW w:w="11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公务用车</w:t>
            </w:r>
          </w:p>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购置费</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公务用车</w:t>
            </w:r>
          </w:p>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运行费</w:t>
            </w:r>
          </w:p>
        </w:tc>
        <w:tc>
          <w:tcPr>
            <w:tcW w:w="11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151"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15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小计</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公务用车</w:t>
            </w:r>
          </w:p>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购置费</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公务用车</w:t>
            </w:r>
          </w:p>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运行费</w:t>
            </w:r>
          </w:p>
        </w:tc>
        <w:tc>
          <w:tcPr>
            <w:tcW w:w="1151" w:type="dxa"/>
            <w:vMerge w:val="continue"/>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9" w:hRule="atLeast"/>
        </w:trPr>
        <w:tc>
          <w:tcPr>
            <w:tcW w:w="1151"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11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5</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6</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7</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8</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9</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11</w:t>
            </w:r>
          </w:p>
        </w:tc>
        <w:tc>
          <w:tcPr>
            <w:tcW w:w="11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atLeast"/>
        </w:trPr>
        <w:tc>
          <w:tcPr>
            <w:tcW w:w="1151" w:type="dxa"/>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1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151" w:type="dxa"/>
            <w:tcBorders>
              <w:top w:val="single" w:color="000000" w:sz="4" w:space="0"/>
              <w:left w:val="single" w:color="000000" w:sz="4" w:space="0"/>
              <w:bottom w:val="single" w:color="000000" w:sz="8" w:space="0"/>
              <w:right w:val="nil"/>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15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13807" w:type="dxa"/>
            <w:gridSpan w:val="12"/>
            <w:tcBorders>
              <w:top w:val="single" w:color="000000" w:sz="8" w:space="0"/>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注：本表反映部门本年度“三公”经费支出预决算情况。其中，预算数为“三公”经费全年预算数，反映按规定程序调整后的预算数；决算数是包括当年一般公共预算财政拨款和以前年度结转资金安排的实际支出。</w:t>
            </w:r>
          </w:p>
        </w:tc>
      </w:tr>
    </w:tbl>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r>
        <w:rPr>
          <w:rFonts w:hint="eastAsia" w:ascii="仿宋_GB2312" w:hAnsi="仿宋_GB2312" w:eastAsia="仿宋_GB2312" w:cs="仿宋_GB2312"/>
          <w:color w:val="auto"/>
          <w:sz w:val="32"/>
          <w:szCs w:val="32"/>
          <w:highlight w:val="none"/>
          <w:lang w:val="en-US" w:eastAsia="zh-CN"/>
        </w:rPr>
        <w:t xml:space="preserve">    说明：我部门没有预算安排的三公经费，也没有预算安排的三公支出，故本表无数据</w:t>
      </w: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12"/>
        <w:gridCol w:w="240"/>
        <w:gridCol w:w="2206"/>
        <w:gridCol w:w="1292"/>
        <w:gridCol w:w="1977"/>
        <w:gridCol w:w="1875"/>
        <w:gridCol w:w="1927"/>
        <w:gridCol w:w="1926"/>
        <w:gridCol w:w="19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3988" w:type="dxa"/>
            <w:gridSpan w:val="9"/>
            <w:tcBorders>
              <w:top w:val="nil"/>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highlight w:val="none"/>
                <w:u w:val="none"/>
              </w:rPr>
            </w:pPr>
            <w:r>
              <w:rPr>
                <w:rFonts w:hint="eastAsia" w:ascii="华文中宋" w:hAnsi="华文中宋" w:eastAsia="华文中宋" w:cs="华文中宋"/>
                <w:i w:val="0"/>
                <w:color w:val="000000"/>
                <w:kern w:val="0"/>
                <w:sz w:val="32"/>
                <w:szCs w:val="32"/>
                <w:highlight w:val="none"/>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2" w:hRule="atLeast"/>
        </w:trPr>
        <w:tc>
          <w:tcPr>
            <w:tcW w:w="612"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40"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20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92"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977"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875"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927"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926"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933" w:type="dxa"/>
            <w:tcBorders>
              <w:top w:val="nil"/>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4350" w:type="dxa"/>
            <w:gridSpan w:val="4"/>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部门：许昌市建安区住房和城乡建设局</w:t>
            </w:r>
            <w:r>
              <w:rPr>
                <w:rFonts w:hint="eastAsia" w:ascii="宋体" w:hAnsi="宋体" w:eastAsia="宋体" w:cs="宋体"/>
                <w:i w:val="0"/>
                <w:iCs w:val="0"/>
                <w:color w:val="000000"/>
                <w:kern w:val="0"/>
                <w:sz w:val="20"/>
                <w:szCs w:val="20"/>
                <w:highlight w:val="none"/>
                <w:u w:val="none"/>
                <w:lang w:val="en-US" w:eastAsia="zh-CN" w:bidi="ar"/>
              </w:rPr>
              <w:t>（本级）</w:t>
            </w:r>
          </w:p>
        </w:tc>
        <w:tc>
          <w:tcPr>
            <w:tcW w:w="1977"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875"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927"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926"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933" w:type="dxa"/>
            <w:tcBorders>
              <w:top w:val="nil"/>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3058" w:type="dxa"/>
            <w:gridSpan w:val="3"/>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    目</w:t>
            </w:r>
          </w:p>
        </w:tc>
        <w:tc>
          <w:tcPr>
            <w:tcW w:w="1292" w:type="dxa"/>
            <w:vMerge w:val="restart"/>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年初结转和结余</w:t>
            </w:r>
          </w:p>
        </w:tc>
        <w:tc>
          <w:tcPr>
            <w:tcW w:w="1977" w:type="dxa"/>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本年收入</w:t>
            </w:r>
          </w:p>
        </w:tc>
        <w:tc>
          <w:tcPr>
            <w:tcW w:w="5728" w:type="dxa"/>
            <w:gridSpan w:val="3"/>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本年支出</w:t>
            </w:r>
          </w:p>
        </w:tc>
        <w:tc>
          <w:tcPr>
            <w:tcW w:w="1933" w:type="dxa"/>
            <w:vMerge w:val="restart"/>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852" w:type="dxa"/>
            <w:gridSpan w:val="2"/>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功能分类</w:t>
            </w:r>
          </w:p>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科目编码</w:t>
            </w:r>
          </w:p>
        </w:tc>
        <w:tc>
          <w:tcPr>
            <w:tcW w:w="220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科目名称</w:t>
            </w:r>
          </w:p>
        </w:tc>
        <w:tc>
          <w:tcPr>
            <w:tcW w:w="1292"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977" w:type="dxa"/>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875"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小计</w:t>
            </w:r>
          </w:p>
        </w:tc>
        <w:tc>
          <w:tcPr>
            <w:tcW w:w="1927"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基本支出</w:t>
            </w:r>
          </w:p>
        </w:tc>
        <w:tc>
          <w:tcPr>
            <w:tcW w:w="1926" w:type="dxa"/>
            <w:vMerge w:val="restart"/>
            <w:tcBorders>
              <w:top w:val="nil"/>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项目支出</w:t>
            </w:r>
          </w:p>
        </w:tc>
        <w:tc>
          <w:tcPr>
            <w:tcW w:w="1933" w:type="dxa"/>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852"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20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92"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977" w:type="dxa"/>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875"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927"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926" w:type="dxa"/>
            <w:vMerge w:val="continue"/>
            <w:tcBorders>
              <w:top w:val="nil"/>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933" w:type="dxa"/>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852"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20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92"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977" w:type="dxa"/>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875"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927"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926" w:type="dxa"/>
            <w:vMerge w:val="continue"/>
            <w:tcBorders>
              <w:top w:val="nil"/>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933" w:type="dxa"/>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3058"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栏次</w:t>
            </w:r>
          </w:p>
        </w:tc>
        <w:tc>
          <w:tcPr>
            <w:tcW w:w="12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19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w:t>
            </w:r>
          </w:p>
        </w:tc>
        <w:tc>
          <w:tcPr>
            <w:tcW w:w="1926"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5</w:t>
            </w:r>
          </w:p>
        </w:tc>
        <w:tc>
          <w:tcPr>
            <w:tcW w:w="193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3058" w:type="dxa"/>
            <w:gridSpan w:val="3"/>
            <w:tcBorders>
              <w:top w:val="nil"/>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合计</w:t>
            </w:r>
          </w:p>
        </w:tc>
        <w:tc>
          <w:tcPr>
            <w:tcW w:w="12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9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39,156.95</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39,156.95</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926"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39,156.95</w:t>
            </w:r>
          </w:p>
        </w:tc>
        <w:tc>
          <w:tcPr>
            <w:tcW w:w="193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852"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bidi="ar"/>
              </w:rPr>
              <w:t>212</w:t>
            </w:r>
          </w:p>
        </w:tc>
        <w:tc>
          <w:tcPr>
            <w:tcW w:w="22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bidi="ar"/>
              </w:rPr>
              <w:t>城乡社区支出</w:t>
            </w:r>
          </w:p>
        </w:tc>
        <w:tc>
          <w:tcPr>
            <w:tcW w:w="12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9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39,156.95</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39,156.95</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926"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39,156.95</w:t>
            </w:r>
          </w:p>
        </w:tc>
        <w:tc>
          <w:tcPr>
            <w:tcW w:w="193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852"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bidi="ar"/>
              </w:rPr>
              <w:t>21208</w:t>
            </w:r>
          </w:p>
        </w:tc>
        <w:tc>
          <w:tcPr>
            <w:tcW w:w="22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bidi="ar"/>
              </w:rPr>
              <w:t>国有土地使用权出让收入安排的支出</w:t>
            </w:r>
          </w:p>
        </w:tc>
        <w:tc>
          <w:tcPr>
            <w:tcW w:w="12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9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bidi="ar"/>
              </w:rPr>
              <w:t>37,656.95</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bidi="ar"/>
              </w:rPr>
              <w:t>37,656.95</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926"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bidi="ar"/>
              </w:rPr>
              <w:t>37,656.95</w:t>
            </w:r>
          </w:p>
        </w:tc>
        <w:tc>
          <w:tcPr>
            <w:tcW w:w="193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852"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bidi="ar"/>
              </w:rPr>
              <w:t>2120899</w:t>
            </w:r>
          </w:p>
        </w:tc>
        <w:tc>
          <w:tcPr>
            <w:tcW w:w="22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其他国有土地使用权出让收入安排的支出</w:t>
            </w:r>
          </w:p>
        </w:tc>
        <w:tc>
          <w:tcPr>
            <w:tcW w:w="12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9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bidi="ar"/>
              </w:rPr>
              <w:t>37,656.95</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bidi="ar"/>
              </w:rPr>
              <w:t>37,656.95</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926"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bidi="ar"/>
              </w:rPr>
              <w:t>37,656.95</w:t>
            </w:r>
          </w:p>
        </w:tc>
        <w:tc>
          <w:tcPr>
            <w:tcW w:w="193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852"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bidi="ar"/>
              </w:rPr>
              <w:t>21213</w:t>
            </w:r>
          </w:p>
        </w:tc>
        <w:tc>
          <w:tcPr>
            <w:tcW w:w="22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bidi="ar"/>
              </w:rPr>
              <w:t>城市基础设施配套费安排的支出</w:t>
            </w:r>
          </w:p>
        </w:tc>
        <w:tc>
          <w:tcPr>
            <w:tcW w:w="12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9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bidi="ar"/>
              </w:rPr>
              <w:t>500.00</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bidi="ar"/>
              </w:rPr>
              <w:t>500.00</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926"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bidi="ar"/>
              </w:rPr>
              <w:t>500.00</w:t>
            </w:r>
          </w:p>
        </w:tc>
        <w:tc>
          <w:tcPr>
            <w:tcW w:w="193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852"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bidi="ar"/>
              </w:rPr>
              <w:t>2121301</w:t>
            </w:r>
          </w:p>
        </w:tc>
        <w:tc>
          <w:tcPr>
            <w:tcW w:w="22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城市公共设施</w:t>
            </w:r>
          </w:p>
        </w:tc>
        <w:tc>
          <w:tcPr>
            <w:tcW w:w="12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9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bidi="ar"/>
              </w:rPr>
              <w:t>500.00</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bidi="ar"/>
              </w:rPr>
              <w:t>500.00</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926"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bidi="ar"/>
              </w:rPr>
              <w:t>500.00</w:t>
            </w:r>
          </w:p>
        </w:tc>
        <w:tc>
          <w:tcPr>
            <w:tcW w:w="193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852"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bidi="ar"/>
              </w:rPr>
              <w:t>21216</w:t>
            </w:r>
          </w:p>
        </w:tc>
        <w:tc>
          <w:tcPr>
            <w:tcW w:w="2206"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bidi="ar"/>
              </w:rPr>
              <w:t>棚户区改造专项债券收入安排的支出</w:t>
            </w:r>
          </w:p>
        </w:tc>
        <w:tc>
          <w:tcPr>
            <w:tcW w:w="1292"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977"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bidi="ar"/>
              </w:rPr>
              <w:t>1,000.00</w:t>
            </w:r>
          </w:p>
        </w:tc>
        <w:tc>
          <w:tcPr>
            <w:tcW w:w="1875"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bidi="ar"/>
              </w:rPr>
              <w:t>1,000.00</w:t>
            </w:r>
          </w:p>
        </w:tc>
        <w:tc>
          <w:tcPr>
            <w:tcW w:w="1927"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926" w:type="dxa"/>
            <w:tcBorders>
              <w:top w:val="single" w:color="000000" w:sz="4" w:space="0"/>
              <w:left w:val="single" w:color="000000" w:sz="4" w:space="0"/>
              <w:bottom w:val="single" w:color="000000" w:sz="8" w:space="0"/>
              <w:right w:val="nil"/>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bidi="ar"/>
              </w:rPr>
              <w:t>1,000.00</w:t>
            </w:r>
          </w:p>
        </w:tc>
        <w:tc>
          <w:tcPr>
            <w:tcW w:w="1933"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852"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bidi="ar"/>
              </w:rPr>
              <w:t>2121699</w:t>
            </w:r>
          </w:p>
        </w:tc>
        <w:tc>
          <w:tcPr>
            <w:tcW w:w="2206"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其他棚户区改造专项债券收入安排的支出</w:t>
            </w:r>
          </w:p>
        </w:tc>
        <w:tc>
          <w:tcPr>
            <w:tcW w:w="1292"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977"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bidi="ar"/>
              </w:rPr>
              <w:t>1,000.00</w:t>
            </w:r>
          </w:p>
        </w:tc>
        <w:tc>
          <w:tcPr>
            <w:tcW w:w="1875"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bidi="ar"/>
              </w:rPr>
              <w:t>1,000.00</w:t>
            </w:r>
          </w:p>
        </w:tc>
        <w:tc>
          <w:tcPr>
            <w:tcW w:w="1927"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926" w:type="dxa"/>
            <w:tcBorders>
              <w:top w:val="single" w:color="000000" w:sz="4" w:space="0"/>
              <w:left w:val="single" w:color="000000" w:sz="4" w:space="0"/>
              <w:bottom w:val="single" w:color="000000" w:sz="8" w:space="0"/>
              <w:right w:val="nil"/>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bidi="ar"/>
              </w:rPr>
              <w:t>1,000.00</w:t>
            </w:r>
          </w:p>
        </w:tc>
        <w:tc>
          <w:tcPr>
            <w:tcW w:w="1933"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5" w:hRule="atLeast"/>
        </w:trPr>
        <w:tc>
          <w:tcPr>
            <w:tcW w:w="13988" w:type="dxa"/>
            <w:gridSpan w:val="9"/>
            <w:tcBorders>
              <w:top w:val="single" w:color="000000" w:sz="8" w:space="0"/>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注：本表反映部门本年度政府性基金预算财政拨款收入、支出及结转和结余情况。</w:t>
            </w:r>
          </w:p>
        </w:tc>
      </w:tr>
    </w:tbl>
    <w:p>
      <w:pPr>
        <w:jc w:val="both"/>
        <w:outlineLvl w:val="9"/>
        <w:rPr>
          <w:rFonts w:hint="eastAsia" w:ascii="仿宋_GB2312" w:hAnsi="仿宋_GB2312" w:eastAsia="仿宋_GB2312" w:cs="仿宋_GB2312"/>
          <w:color w:val="auto"/>
          <w:sz w:val="32"/>
          <w:szCs w:val="32"/>
          <w:highlight w:val="none"/>
          <w:lang w:val="en-US" w:eastAsia="zh-CN"/>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w:t>
      </w:r>
      <w:r>
        <w:rPr>
          <w:rFonts w:hint="eastAsia" w:ascii="黑体" w:hAnsi="黑体" w:eastAsia="黑体" w:cs="黑体"/>
          <w:color w:val="auto"/>
          <w:sz w:val="48"/>
          <w:szCs w:val="48"/>
          <w:highlight w:val="none"/>
          <w:lang w:eastAsia="zh-CN"/>
        </w:rPr>
        <w:t>三</w:t>
      </w:r>
      <w:r>
        <w:rPr>
          <w:rFonts w:hint="eastAsia" w:ascii="黑体" w:hAnsi="黑体" w:eastAsia="黑体" w:cs="黑体"/>
          <w:color w:val="auto"/>
          <w:sz w:val="48"/>
          <w:szCs w:val="48"/>
          <w:highlight w:val="none"/>
        </w:rPr>
        <w:t>部分</w:t>
      </w:r>
      <w:r>
        <w:rPr>
          <w:rFonts w:hint="eastAsia" w:ascii="黑体" w:hAnsi="黑体" w:eastAsia="黑体" w:cs="黑体"/>
          <w:color w:val="auto"/>
          <w:sz w:val="48"/>
          <w:szCs w:val="48"/>
          <w:highlight w:val="none"/>
          <w:lang w:val="en-US" w:eastAsia="zh-CN"/>
        </w:rPr>
        <w:t xml:space="preserve">  </w:t>
      </w:r>
      <w:r>
        <w:rPr>
          <w:rFonts w:hint="eastAsia" w:ascii="黑体" w:hAnsi="黑体" w:eastAsia="黑体" w:cs="黑体"/>
          <w:color w:val="auto"/>
          <w:sz w:val="48"/>
          <w:szCs w:val="48"/>
          <w:highlight w:val="none"/>
          <w:lang w:eastAsia="zh-CN"/>
        </w:rPr>
        <w:t>20</w:t>
      </w:r>
      <w:r>
        <w:rPr>
          <w:rFonts w:hint="eastAsia" w:ascii="黑体" w:hAnsi="黑体" w:eastAsia="黑体" w:cs="黑体"/>
          <w:color w:val="auto"/>
          <w:sz w:val="48"/>
          <w:szCs w:val="48"/>
          <w:highlight w:val="none"/>
          <w:lang w:val="en-US" w:eastAsia="zh-CN"/>
        </w:rPr>
        <w:t>21</w:t>
      </w:r>
      <w:r>
        <w:rPr>
          <w:rFonts w:hint="eastAsia" w:ascii="黑体" w:hAnsi="黑体" w:eastAsia="黑体" w:cs="黑体"/>
          <w:color w:val="auto"/>
          <w:sz w:val="48"/>
          <w:szCs w:val="48"/>
          <w:highlight w:val="none"/>
          <w:lang w:eastAsia="zh-CN"/>
        </w:rPr>
        <w:t>年度</w:t>
      </w:r>
      <w:r>
        <w:rPr>
          <w:rFonts w:hint="eastAsia" w:ascii="黑体" w:hAnsi="黑体" w:eastAsia="黑体" w:cs="黑体"/>
          <w:color w:val="auto"/>
          <w:sz w:val="48"/>
          <w:szCs w:val="48"/>
          <w:highlight w:val="none"/>
        </w:rPr>
        <w:t>部门决算情况说明</w:t>
      </w:r>
    </w:p>
    <w:p>
      <w:pPr>
        <w:widowControl/>
        <w:jc w:val="left"/>
        <w:rPr>
          <w:rFonts w:hint="eastAsia" w:ascii="黑体" w:hAnsi="黑体" w:eastAsia="黑体" w:cs="黑体"/>
          <w:color w:val="auto"/>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一、收入支出决算总体情况说明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1"/>
        <w:rPr>
          <w:rFonts w:hint="eastAsia" w:ascii="仿宋_GB2312" w:hAnsi="仿宋_GB2312" w:eastAsia="仿宋_GB2312"/>
          <w:sz w:val="32"/>
          <w:szCs w:val="24"/>
          <w:highlight w:val="none"/>
        </w:rPr>
      </w:pPr>
      <w:r>
        <w:rPr>
          <w:rFonts w:hint="eastAsia" w:ascii="仿宋_GB2312" w:hAnsi="仿宋_GB2312" w:eastAsia="仿宋_GB2312"/>
          <w:sz w:val="32"/>
          <w:szCs w:val="24"/>
          <w:highlight w:val="none"/>
        </w:rPr>
        <w:t>2021年度收、支总计均为81,434.81万元。与上年度相比，收、支总计各增加41,690.62万元，增长104.9</w:t>
      </w:r>
      <w:r>
        <w:rPr>
          <w:rFonts w:hint="eastAsia" w:ascii="仿宋_GB2312" w:hAnsi="仿宋_GB2312" w:eastAsia="仿宋_GB2312"/>
          <w:sz w:val="32"/>
          <w:szCs w:val="24"/>
          <w:highlight w:val="none"/>
          <w:lang w:val="en-US" w:eastAsia="zh-CN"/>
        </w:rPr>
        <w:t>0</w:t>
      </w:r>
      <w:r>
        <w:rPr>
          <w:rFonts w:hint="eastAsia" w:ascii="仿宋_GB2312" w:hAnsi="仿宋_GB2312" w:eastAsia="仿宋_GB2312"/>
          <w:sz w:val="32"/>
          <w:szCs w:val="24"/>
          <w:highlight w:val="none"/>
        </w:rPr>
        <w:t>%。主要原因是</w:t>
      </w:r>
      <w:r>
        <w:rPr>
          <w:rFonts w:hint="eastAsia" w:ascii="仿宋_GB2312" w:hAnsi="仿宋_GB2312" w:eastAsia="仿宋_GB2312"/>
          <w:sz w:val="32"/>
          <w:szCs w:val="24"/>
          <w:highlight w:val="none"/>
          <w:lang w:val="en-US" w:eastAsia="zh-CN"/>
        </w:rPr>
        <w:t>政府性基金收入增加</w:t>
      </w:r>
      <w:r>
        <w:rPr>
          <w:rFonts w:hint="eastAsia" w:ascii="仿宋_GB2312" w:hAnsi="仿宋_GB2312" w:eastAsia="仿宋_GB2312"/>
          <w:sz w:val="32"/>
          <w:szCs w:val="24"/>
          <w:highlight w:val="none"/>
        </w:rPr>
        <w:t>。</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二、收入决算情况说明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1"/>
        <w:rPr>
          <w:rFonts w:hint="eastAsia" w:ascii="仿宋_GB2312" w:hAnsi="仿宋_GB2312" w:eastAsia="仿宋_GB2312"/>
          <w:sz w:val="32"/>
          <w:szCs w:val="24"/>
          <w:highlight w:val="none"/>
          <w:lang w:val="en-US"/>
        </w:rPr>
      </w:pPr>
      <w:r>
        <w:rPr>
          <w:rFonts w:hint="eastAsia" w:ascii="仿宋_GB2312" w:hAnsi="仿宋_GB2312" w:eastAsia="仿宋_GB2312"/>
          <w:sz w:val="32"/>
          <w:szCs w:val="24"/>
          <w:highlight w:val="none"/>
          <w:lang w:val="en-US"/>
        </w:rPr>
        <w:t>2021年度收入合计81,434.81万元，其中：财政拨款收入</w:t>
      </w:r>
      <w:r>
        <w:rPr>
          <w:rFonts w:hint="eastAsia" w:ascii="仿宋_GB2312" w:hAnsi="仿宋_GB2312" w:eastAsia="仿宋_GB2312"/>
          <w:sz w:val="32"/>
          <w:szCs w:val="24"/>
          <w:highlight w:val="none"/>
          <w:lang w:val="en-US" w:eastAsia="zh-CN"/>
        </w:rPr>
        <w:t>81431.81</w:t>
      </w:r>
      <w:r>
        <w:rPr>
          <w:rFonts w:hint="eastAsia" w:ascii="仿宋_GB2312" w:hAnsi="仿宋_GB2312" w:eastAsia="仿宋_GB2312"/>
          <w:sz w:val="32"/>
          <w:szCs w:val="24"/>
          <w:highlight w:val="none"/>
          <w:lang w:val="en-US"/>
        </w:rPr>
        <w:t>万元，占</w:t>
      </w:r>
      <w:r>
        <w:rPr>
          <w:rFonts w:hint="eastAsia" w:ascii="仿宋_GB2312" w:hAnsi="仿宋_GB2312" w:eastAsia="仿宋_GB2312"/>
          <w:sz w:val="32"/>
          <w:szCs w:val="24"/>
          <w:highlight w:val="none"/>
          <w:lang w:val="en-US" w:eastAsia="zh-CN"/>
        </w:rPr>
        <w:t>100.00</w:t>
      </w:r>
      <w:r>
        <w:rPr>
          <w:rFonts w:hint="eastAsia" w:ascii="仿宋_GB2312" w:hAnsi="仿宋_GB2312" w:eastAsia="仿宋_GB2312"/>
          <w:sz w:val="32"/>
          <w:szCs w:val="24"/>
          <w:highlight w:val="none"/>
          <w:lang w:val="en-US"/>
        </w:rPr>
        <w:t>%；上级补助收入0</w:t>
      </w:r>
      <w:r>
        <w:rPr>
          <w:rFonts w:hint="eastAsia" w:ascii="仿宋_GB2312" w:hAnsi="仿宋_GB2312" w:eastAsia="仿宋_GB2312"/>
          <w:sz w:val="32"/>
          <w:szCs w:val="24"/>
          <w:highlight w:val="none"/>
          <w:lang w:val="en-US" w:eastAsia="zh-CN"/>
        </w:rPr>
        <w:t>.00</w:t>
      </w:r>
      <w:r>
        <w:rPr>
          <w:rFonts w:hint="eastAsia" w:ascii="仿宋_GB2312" w:hAnsi="仿宋_GB2312" w:eastAsia="仿宋_GB2312"/>
          <w:sz w:val="32"/>
          <w:szCs w:val="24"/>
          <w:highlight w:val="none"/>
          <w:lang w:val="en-US"/>
        </w:rPr>
        <w:t>万元，占0</w:t>
      </w:r>
      <w:r>
        <w:rPr>
          <w:rFonts w:hint="eastAsia" w:ascii="仿宋_GB2312" w:hAnsi="仿宋_GB2312" w:eastAsia="仿宋_GB2312"/>
          <w:sz w:val="32"/>
          <w:szCs w:val="24"/>
          <w:highlight w:val="none"/>
          <w:lang w:val="en-US" w:eastAsia="zh-CN"/>
        </w:rPr>
        <w:t>.00</w:t>
      </w:r>
      <w:r>
        <w:rPr>
          <w:rFonts w:hint="eastAsia" w:ascii="仿宋_GB2312" w:hAnsi="仿宋_GB2312" w:eastAsia="仿宋_GB2312"/>
          <w:sz w:val="32"/>
          <w:szCs w:val="24"/>
          <w:highlight w:val="none"/>
          <w:lang w:val="en-US"/>
        </w:rPr>
        <w:t>%；事业收入0</w:t>
      </w:r>
      <w:r>
        <w:rPr>
          <w:rFonts w:hint="eastAsia" w:ascii="仿宋_GB2312" w:hAnsi="仿宋_GB2312" w:eastAsia="仿宋_GB2312"/>
          <w:sz w:val="32"/>
          <w:szCs w:val="24"/>
          <w:highlight w:val="none"/>
          <w:lang w:val="en-US" w:eastAsia="zh-CN"/>
        </w:rPr>
        <w:t>.00</w:t>
      </w:r>
      <w:r>
        <w:rPr>
          <w:rFonts w:hint="eastAsia" w:ascii="仿宋_GB2312" w:hAnsi="仿宋_GB2312" w:eastAsia="仿宋_GB2312"/>
          <w:sz w:val="32"/>
          <w:szCs w:val="24"/>
          <w:highlight w:val="none"/>
          <w:lang w:val="en-US"/>
        </w:rPr>
        <w:t>万元，占0</w:t>
      </w:r>
      <w:r>
        <w:rPr>
          <w:rFonts w:hint="eastAsia" w:ascii="仿宋_GB2312" w:hAnsi="仿宋_GB2312" w:eastAsia="仿宋_GB2312"/>
          <w:sz w:val="32"/>
          <w:szCs w:val="24"/>
          <w:highlight w:val="none"/>
          <w:lang w:val="en-US" w:eastAsia="zh-CN"/>
        </w:rPr>
        <w:t>.00</w:t>
      </w:r>
      <w:r>
        <w:rPr>
          <w:rFonts w:hint="eastAsia" w:ascii="仿宋_GB2312" w:hAnsi="仿宋_GB2312" w:eastAsia="仿宋_GB2312"/>
          <w:sz w:val="32"/>
          <w:szCs w:val="24"/>
          <w:highlight w:val="none"/>
          <w:lang w:val="en-US"/>
        </w:rPr>
        <w:t>%；经营收入0</w:t>
      </w:r>
      <w:r>
        <w:rPr>
          <w:rFonts w:hint="eastAsia" w:ascii="仿宋_GB2312" w:hAnsi="仿宋_GB2312" w:eastAsia="仿宋_GB2312"/>
          <w:sz w:val="32"/>
          <w:szCs w:val="24"/>
          <w:highlight w:val="none"/>
          <w:lang w:val="en-US" w:eastAsia="zh-CN"/>
        </w:rPr>
        <w:t>.00</w:t>
      </w:r>
      <w:r>
        <w:rPr>
          <w:rFonts w:hint="eastAsia" w:ascii="仿宋_GB2312" w:hAnsi="仿宋_GB2312" w:eastAsia="仿宋_GB2312"/>
          <w:sz w:val="32"/>
          <w:szCs w:val="24"/>
          <w:highlight w:val="none"/>
          <w:lang w:val="en-US"/>
        </w:rPr>
        <w:t>万元，占0</w:t>
      </w:r>
      <w:r>
        <w:rPr>
          <w:rFonts w:hint="eastAsia" w:ascii="仿宋_GB2312" w:hAnsi="仿宋_GB2312" w:eastAsia="仿宋_GB2312"/>
          <w:sz w:val="32"/>
          <w:szCs w:val="24"/>
          <w:highlight w:val="none"/>
          <w:lang w:val="en-US" w:eastAsia="zh-CN"/>
        </w:rPr>
        <w:t>.00</w:t>
      </w:r>
      <w:r>
        <w:rPr>
          <w:rFonts w:hint="eastAsia" w:ascii="仿宋_GB2312" w:hAnsi="仿宋_GB2312" w:eastAsia="仿宋_GB2312"/>
          <w:sz w:val="32"/>
          <w:szCs w:val="24"/>
          <w:highlight w:val="none"/>
          <w:lang w:val="en-US"/>
        </w:rPr>
        <w:t>%；附属单位上缴收入0</w:t>
      </w:r>
      <w:r>
        <w:rPr>
          <w:rFonts w:hint="eastAsia" w:ascii="仿宋_GB2312" w:hAnsi="仿宋_GB2312" w:eastAsia="仿宋_GB2312"/>
          <w:sz w:val="32"/>
          <w:szCs w:val="24"/>
          <w:highlight w:val="none"/>
          <w:lang w:val="en-US" w:eastAsia="zh-CN"/>
        </w:rPr>
        <w:t>.00</w:t>
      </w:r>
      <w:r>
        <w:rPr>
          <w:rFonts w:hint="eastAsia" w:ascii="仿宋_GB2312" w:hAnsi="仿宋_GB2312" w:eastAsia="仿宋_GB2312"/>
          <w:sz w:val="32"/>
          <w:szCs w:val="24"/>
          <w:highlight w:val="none"/>
          <w:lang w:val="en-US"/>
        </w:rPr>
        <w:t>万元，占0</w:t>
      </w:r>
      <w:r>
        <w:rPr>
          <w:rFonts w:hint="eastAsia" w:ascii="仿宋_GB2312" w:hAnsi="仿宋_GB2312" w:eastAsia="仿宋_GB2312"/>
          <w:sz w:val="32"/>
          <w:szCs w:val="24"/>
          <w:highlight w:val="none"/>
          <w:lang w:val="en-US" w:eastAsia="zh-CN"/>
        </w:rPr>
        <w:t>.00</w:t>
      </w:r>
      <w:r>
        <w:rPr>
          <w:rFonts w:hint="eastAsia" w:ascii="仿宋_GB2312" w:hAnsi="仿宋_GB2312" w:eastAsia="仿宋_GB2312"/>
          <w:sz w:val="32"/>
          <w:szCs w:val="24"/>
          <w:highlight w:val="none"/>
          <w:lang w:val="en-US"/>
        </w:rPr>
        <w:t>%；其他收入0</w:t>
      </w:r>
      <w:r>
        <w:rPr>
          <w:rFonts w:hint="eastAsia" w:ascii="仿宋_GB2312" w:hAnsi="仿宋_GB2312" w:eastAsia="仿宋_GB2312"/>
          <w:sz w:val="32"/>
          <w:szCs w:val="24"/>
          <w:highlight w:val="none"/>
          <w:lang w:val="en-US" w:eastAsia="zh-CN"/>
        </w:rPr>
        <w:t>.00</w:t>
      </w:r>
      <w:r>
        <w:rPr>
          <w:rFonts w:hint="eastAsia" w:ascii="仿宋_GB2312" w:hAnsi="仿宋_GB2312" w:eastAsia="仿宋_GB2312"/>
          <w:sz w:val="32"/>
          <w:szCs w:val="24"/>
          <w:highlight w:val="none"/>
          <w:lang w:val="en-US"/>
        </w:rPr>
        <w:t>万元，占0</w:t>
      </w:r>
      <w:r>
        <w:rPr>
          <w:rFonts w:hint="eastAsia" w:ascii="仿宋_GB2312" w:hAnsi="仿宋_GB2312" w:eastAsia="仿宋_GB2312"/>
          <w:sz w:val="32"/>
          <w:szCs w:val="24"/>
          <w:highlight w:val="none"/>
          <w:lang w:val="en-US" w:eastAsia="zh-CN"/>
        </w:rPr>
        <w:t>.00</w:t>
      </w:r>
      <w:r>
        <w:rPr>
          <w:rFonts w:hint="eastAsia" w:ascii="仿宋_GB2312" w:hAnsi="仿宋_GB2312" w:eastAsia="仿宋_GB2312"/>
          <w:sz w:val="32"/>
          <w:szCs w:val="24"/>
          <w:highlight w:val="none"/>
          <w:lang w:val="en-US"/>
        </w:rPr>
        <w:t>%。</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三、支出决算情况说明</w:t>
      </w:r>
    </w:p>
    <w:p>
      <w:pPr>
        <w:keepNext w:val="0"/>
        <w:keepLines w:val="0"/>
        <w:pageBreakBefore w:val="0"/>
        <w:widowControl/>
        <w:kinsoku/>
        <w:wordWrap/>
        <w:overflowPunct/>
        <w:topLinePunct w:val="0"/>
        <w:autoSpaceDE/>
        <w:autoSpaceDN/>
        <w:bidi w:val="0"/>
        <w:adjustRightInd/>
        <w:snapToGrid/>
        <w:spacing w:line="590" w:lineRule="exact"/>
        <w:ind w:right="0" w:rightChars="0" w:firstLine="640" w:firstLineChars="200"/>
        <w:jc w:val="both"/>
        <w:textAlignment w:val="auto"/>
        <w:outlineLvl w:val="1"/>
        <w:rPr>
          <w:rFonts w:hint="eastAsia" w:ascii="仿宋_GB2312" w:hAnsi="仿宋_GB2312" w:eastAsia="仿宋_GB2312"/>
          <w:sz w:val="32"/>
          <w:szCs w:val="24"/>
          <w:highlight w:val="none"/>
          <w:lang w:val="en-US"/>
        </w:rPr>
      </w:pPr>
      <w:r>
        <w:rPr>
          <w:rFonts w:hint="eastAsia" w:ascii="仿宋_GB2312" w:hAnsi="仿宋_GB2312" w:eastAsia="仿宋_GB2312"/>
          <w:sz w:val="32"/>
          <w:szCs w:val="24"/>
          <w:highlight w:val="none"/>
          <w:lang w:val="en-US"/>
        </w:rPr>
        <w:t>2021年度支出合计81,434.81万元，其中：基本支出410.86万元，占0.5</w:t>
      </w:r>
      <w:r>
        <w:rPr>
          <w:rFonts w:hint="eastAsia" w:ascii="仿宋_GB2312" w:hAnsi="仿宋_GB2312" w:eastAsia="仿宋_GB2312"/>
          <w:sz w:val="32"/>
          <w:szCs w:val="24"/>
          <w:highlight w:val="none"/>
          <w:lang w:val="en-US" w:eastAsia="zh-CN"/>
        </w:rPr>
        <w:t>0</w:t>
      </w:r>
      <w:r>
        <w:rPr>
          <w:rFonts w:hint="eastAsia" w:ascii="仿宋_GB2312" w:hAnsi="仿宋_GB2312" w:eastAsia="仿宋_GB2312"/>
          <w:sz w:val="32"/>
          <w:szCs w:val="24"/>
          <w:highlight w:val="none"/>
          <w:lang w:val="en-US"/>
        </w:rPr>
        <w:t>%；项目支出81,023.94万元，占99.5</w:t>
      </w:r>
      <w:r>
        <w:rPr>
          <w:rFonts w:hint="eastAsia" w:ascii="仿宋_GB2312" w:hAnsi="仿宋_GB2312" w:eastAsia="仿宋_GB2312"/>
          <w:sz w:val="32"/>
          <w:szCs w:val="24"/>
          <w:highlight w:val="none"/>
          <w:lang w:val="en-US" w:eastAsia="zh-CN"/>
        </w:rPr>
        <w:t>0</w:t>
      </w:r>
      <w:r>
        <w:rPr>
          <w:rFonts w:hint="eastAsia" w:ascii="仿宋_GB2312" w:hAnsi="仿宋_GB2312" w:eastAsia="仿宋_GB2312"/>
          <w:sz w:val="32"/>
          <w:szCs w:val="24"/>
          <w:highlight w:val="none"/>
          <w:lang w:val="en-US"/>
        </w:rPr>
        <w:t>%；上缴上级支出</w:t>
      </w:r>
      <w:r>
        <w:rPr>
          <w:rFonts w:hint="eastAsia" w:ascii="仿宋_GB2312" w:hAnsi="仿宋_GB2312" w:eastAsia="仿宋_GB2312"/>
          <w:sz w:val="32"/>
          <w:szCs w:val="24"/>
          <w:highlight w:val="none"/>
          <w:lang w:val="en-US" w:eastAsia="zh-CN"/>
        </w:rPr>
        <w:t>0.00</w:t>
      </w:r>
      <w:r>
        <w:rPr>
          <w:rFonts w:hint="eastAsia" w:ascii="仿宋_GB2312" w:hAnsi="仿宋_GB2312" w:eastAsia="仿宋_GB2312"/>
          <w:sz w:val="32"/>
          <w:szCs w:val="24"/>
          <w:highlight w:val="none"/>
          <w:lang w:val="en-US"/>
        </w:rPr>
        <w:t>万元，占</w:t>
      </w:r>
      <w:r>
        <w:rPr>
          <w:rFonts w:hint="eastAsia" w:ascii="仿宋_GB2312" w:hAnsi="仿宋_GB2312" w:eastAsia="仿宋_GB2312"/>
          <w:sz w:val="32"/>
          <w:szCs w:val="24"/>
          <w:highlight w:val="none"/>
          <w:lang w:val="en-US" w:eastAsia="zh-CN"/>
        </w:rPr>
        <w:t>0.00</w:t>
      </w:r>
      <w:r>
        <w:rPr>
          <w:rFonts w:hint="eastAsia" w:ascii="仿宋_GB2312" w:hAnsi="仿宋_GB2312" w:eastAsia="仿宋_GB2312"/>
          <w:sz w:val="32"/>
          <w:szCs w:val="24"/>
          <w:highlight w:val="none"/>
          <w:lang w:val="en-US"/>
        </w:rPr>
        <w:t>%；经营支出</w:t>
      </w:r>
      <w:r>
        <w:rPr>
          <w:rFonts w:hint="eastAsia" w:ascii="仿宋_GB2312" w:hAnsi="仿宋_GB2312" w:eastAsia="仿宋_GB2312"/>
          <w:sz w:val="32"/>
          <w:szCs w:val="24"/>
          <w:highlight w:val="none"/>
          <w:lang w:val="en-US" w:eastAsia="zh-CN"/>
        </w:rPr>
        <w:t>0.00</w:t>
      </w:r>
      <w:r>
        <w:rPr>
          <w:rFonts w:hint="eastAsia" w:ascii="仿宋_GB2312" w:hAnsi="仿宋_GB2312" w:eastAsia="仿宋_GB2312"/>
          <w:sz w:val="32"/>
          <w:szCs w:val="24"/>
          <w:highlight w:val="none"/>
          <w:lang w:val="en-US"/>
        </w:rPr>
        <w:t>万元，占</w:t>
      </w:r>
      <w:r>
        <w:rPr>
          <w:rFonts w:hint="eastAsia" w:ascii="仿宋_GB2312" w:hAnsi="仿宋_GB2312" w:eastAsia="仿宋_GB2312"/>
          <w:sz w:val="32"/>
          <w:szCs w:val="24"/>
          <w:highlight w:val="none"/>
          <w:lang w:val="en-US" w:eastAsia="zh-CN"/>
        </w:rPr>
        <w:t>0.00</w:t>
      </w:r>
      <w:r>
        <w:rPr>
          <w:rFonts w:hint="eastAsia" w:ascii="仿宋_GB2312" w:hAnsi="仿宋_GB2312" w:eastAsia="仿宋_GB2312"/>
          <w:sz w:val="32"/>
          <w:szCs w:val="24"/>
          <w:highlight w:val="none"/>
          <w:lang w:val="en-US"/>
        </w:rPr>
        <w:t>%；对附属单位补助支出</w:t>
      </w:r>
      <w:r>
        <w:rPr>
          <w:rFonts w:hint="eastAsia" w:ascii="仿宋_GB2312" w:hAnsi="仿宋_GB2312" w:eastAsia="仿宋_GB2312"/>
          <w:sz w:val="32"/>
          <w:szCs w:val="24"/>
          <w:highlight w:val="none"/>
          <w:lang w:val="en-US" w:eastAsia="zh-CN"/>
        </w:rPr>
        <w:t>0.00</w:t>
      </w:r>
      <w:r>
        <w:rPr>
          <w:rFonts w:hint="eastAsia" w:ascii="仿宋_GB2312" w:hAnsi="仿宋_GB2312" w:eastAsia="仿宋_GB2312"/>
          <w:sz w:val="32"/>
          <w:szCs w:val="24"/>
          <w:highlight w:val="none"/>
          <w:lang w:val="en-US"/>
        </w:rPr>
        <w:t>万元，占</w:t>
      </w:r>
      <w:r>
        <w:rPr>
          <w:rFonts w:hint="eastAsia" w:ascii="仿宋_GB2312" w:hAnsi="仿宋_GB2312" w:eastAsia="仿宋_GB2312"/>
          <w:sz w:val="32"/>
          <w:szCs w:val="24"/>
          <w:highlight w:val="none"/>
          <w:lang w:val="en-US" w:eastAsia="zh-CN"/>
        </w:rPr>
        <w:t>0.00</w:t>
      </w:r>
      <w:r>
        <w:rPr>
          <w:rFonts w:hint="eastAsia" w:ascii="仿宋_GB2312" w:hAnsi="仿宋_GB2312" w:eastAsia="仿宋_GB2312"/>
          <w:sz w:val="32"/>
          <w:szCs w:val="24"/>
          <w:highlight w:val="none"/>
          <w:lang w:val="en-US"/>
        </w:rPr>
        <w:t>%。</w:t>
      </w:r>
    </w:p>
    <w:p>
      <w:pPr>
        <w:keepNext w:val="0"/>
        <w:keepLines w:val="0"/>
        <w:pageBreakBefore w:val="0"/>
        <w:widowControl/>
        <w:kinsoku/>
        <w:wordWrap/>
        <w:overflowPunct/>
        <w:topLinePunct w:val="0"/>
        <w:autoSpaceDE/>
        <w:autoSpaceDN/>
        <w:bidi w:val="0"/>
        <w:adjustRightInd/>
        <w:snapToGrid/>
        <w:spacing w:line="590" w:lineRule="exact"/>
        <w:ind w:right="0" w:rightChars="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四、财政拨款收入支出决算总体情况说明</w:t>
      </w:r>
    </w:p>
    <w:p>
      <w:pPr>
        <w:spacing w:beforeLines="0" w:afterLines="0" w:line="590" w:lineRule="exact"/>
        <w:ind w:firstLine="640"/>
        <w:rPr>
          <w:rFonts w:hint="default" w:ascii="Times New Roman" w:hAnsi="Times New Roman" w:eastAsia="Times New Roman"/>
          <w:kern w:val="0"/>
          <w:sz w:val="18"/>
          <w:szCs w:val="24"/>
          <w:highlight w:val="none"/>
          <w:lang w:val="zh-CN"/>
        </w:rPr>
      </w:pPr>
      <w:r>
        <w:rPr>
          <w:rFonts w:hint="eastAsia" w:ascii="仿宋_GB2312" w:hAnsi="仿宋_GB2312" w:eastAsia="仿宋_GB2312"/>
          <w:sz w:val="32"/>
          <w:szCs w:val="24"/>
          <w:highlight w:val="none"/>
          <w:lang w:val="en-US"/>
        </w:rPr>
        <w:t>2021年度财政拨款收、支总计均为81,434.81万元。与上年度相比，财政拨款收、支总计各增加41,690.62万元，增长104.9</w:t>
      </w:r>
      <w:r>
        <w:rPr>
          <w:rFonts w:hint="eastAsia" w:ascii="仿宋_GB2312" w:hAnsi="仿宋_GB2312" w:eastAsia="仿宋_GB2312"/>
          <w:sz w:val="32"/>
          <w:szCs w:val="24"/>
          <w:highlight w:val="none"/>
          <w:lang w:val="en-US" w:eastAsia="zh-CN"/>
        </w:rPr>
        <w:t>0</w:t>
      </w:r>
      <w:r>
        <w:rPr>
          <w:rFonts w:hint="eastAsia" w:ascii="仿宋_GB2312" w:hAnsi="仿宋_GB2312" w:eastAsia="仿宋_GB2312"/>
          <w:sz w:val="32"/>
          <w:szCs w:val="24"/>
          <w:highlight w:val="none"/>
          <w:lang w:val="en-US"/>
        </w:rPr>
        <w:t>%。主要原因是</w:t>
      </w:r>
      <w:r>
        <w:rPr>
          <w:rFonts w:hint="eastAsia" w:ascii="仿宋_GB2312" w:hAnsi="仿宋_GB2312" w:eastAsia="仿宋_GB2312"/>
          <w:sz w:val="32"/>
          <w:szCs w:val="24"/>
          <w:highlight w:val="none"/>
          <w:lang w:val="en-US" w:eastAsia="zh-CN"/>
        </w:rPr>
        <w:t>政府性基金收入增加</w:t>
      </w:r>
      <w:r>
        <w:rPr>
          <w:rFonts w:hint="eastAsia" w:ascii="仿宋_GB2312" w:hAnsi="仿宋_GB2312" w:eastAsia="仿宋_GB2312"/>
          <w:sz w:val="32"/>
          <w:szCs w:val="24"/>
          <w:highlight w:val="none"/>
          <w:lang w:val="en-US"/>
        </w:rPr>
        <w:t>。</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五、一般公共预算财政拨款支出决算情况说明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（一）总体情况。</w:t>
      </w:r>
    </w:p>
    <w:p>
      <w:pPr>
        <w:spacing w:beforeLines="0" w:afterLines="0"/>
        <w:jc w:val="left"/>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sz w:val="32"/>
          <w:szCs w:val="24"/>
          <w:highlight w:val="none"/>
          <w:lang w:val="en-US"/>
        </w:rPr>
        <w:t xml:space="preserve"> </w:t>
      </w:r>
      <w:r>
        <w:rPr>
          <w:rFonts w:hint="eastAsia" w:ascii="仿宋_GB2312" w:hAnsi="仿宋_GB2312" w:eastAsia="仿宋_GB2312"/>
          <w:sz w:val="32"/>
          <w:szCs w:val="24"/>
          <w:highlight w:val="none"/>
          <w:lang w:val="en-US" w:eastAsia="zh-CN"/>
        </w:rPr>
        <w:t xml:space="preserve">  </w:t>
      </w:r>
      <w:r>
        <w:rPr>
          <w:rFonts w:hint="eastAsia" w:ascii="仿宋_GB2312" w:hAnsi="仿宋_GB2312" w:eastAsia="仿宋_GB2312"/>
          <w:sz w:val="32"/>
          <w:szCs w:val="24"/>
          <w:highlight w:val="none"/>
          <w:lang w:val="en-US"/>
        </w:rPr>
        <w:t>2021年度一般公共预算财政拨款支出42,277.86万元，占支出合计的51.92%。与上年度相比，一般公共预算财政拨款支出增加6,045.26万元，增长16.68%。主要原因是</w:t>
      </w:r>
      <w:r>
        <w:rPr>
          <w:rFonts w:hint="eastAsia" w:ascii="仿宋_GB2312" w:hAnsi="仿宋_GB2312" w:eastAsia="仿宋_GB2312" w:cs="仿宋_GB2312"/>
          <w:color w:val="auto"/>
          <w:sz w:val="32"/>
          <w:szCs w:val="32"/>
          <w:highlight w:val="none"/>
          <w:lang w:val="zh-CN" w:eastAsia="zh-CN"/>
        </w:rPr>
        <w:t>人员和经费项目相应增加</w:t>
      </w:r>
      <w:r>
        <w:rPr>
          <w:rFonts w:hint="eastAsia" w:ascii="仿宋_GB2312" w:hAnsi="仿宋_GB2312" w:eastAsia="仿宋_GB2312"/>
          <w:sz w:val="32"/>
          <w:szCs w:val="24"/>
          <w:highlight w:val="none"/>
          <w:lang w:val="en-US"/>
        </w:rPr>
        <w:t>。</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（二）结构情况。</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2021年度一般公共预算财政拨款支出</w:t>
      </w:r>
      <w:r>
        <w:rPr>
          <w:rFonts w:hint="eastAsia" w:ascii="仿宋_GB2312" w:hAnsi="仿宋_GB2312" w:eastAsia="仿宋_GB2312"/>
          <w:sz w:val="32"/>
          <w:szCs w:val="24"/>
          <w:highlight w:val="none"/>
          <w:lang w:val="en-US"/>
        </w:rPr>
        <w:t>42,277.86</w:t>
      </w:r>
      <w:r>
        <w:rPr>
          <w:rFonts w:hint="eastAsia" w:ascii="仿宋_GB2312" w:hAnsi="仿宋_GB2312" w:eastAsia="仿宋_GB2312" w:cs="仿宋_GB2312"/>
          <w:color w:val="auto"/>
          <w:sz w:val="32"/>
          <w:szCs w:val="32"/>
          <w:highlight w:val="none"/>
          <w:lang w:val="en-US" w:eastAsia="zh-CN"/>
        </w:rPr>
        <w:t>万元，主要用于以下方面：</w:t>
      </w:r>
      <w:r>
        <w:rPr>
          <w:rFonts w:hint="eastAsia" w:ascii="仿宋_GB2312" w:hAnsi="仿宋_GB2312" w:eastAsia="仿宋_GB2312" w:cs="仿宋_GB2312"/>
          <w:color w:val="auto"/>
          <w:sz w:val="32"/>
          <w:szCs w:val="32"/>
          <w:highlight w:val="none"/>
          <w:lang w:val="zh-CN" w:eastAsia="zh-CN"/>
        </w:rPr>
        <w:t>社会保障和就业（类）支出</w:t>
      </w:r>
      <w:r>
        <w:rPr>
          <w:rFonts w:hint="eastAsia" w:ascii="仿宋_GB2312" w:hAnsi="仿宋_GB2312" w:eastAsia="仿宋_GB2312" w:cs="仿宋_GB2312"/>
          <w:color w:val="auto"/>
          <w:sz w:val="32"/>
          <w:szCs w:val="32"/>
          <w:highlight w:val="none"/>
          <w:lang w:val="en-US" w:eastAsia="zh-CN"/>
        </w:rPr>
        <w:t>42.91</w:t>
      </w:r>
      <w:r>
        <w:rPr>
          <w:rFonts w:hint="eastAsia" w:ascii="仿宋_GB2312" w:hAnsi="仿宋_GB2312" w:eastAsia="仿宋_GB2312" w:cs="仿宋_GB2312"/>
          <w:color w:val="auto"/>
          <w:sz w:val="32"/>
          <w:szCs w:val="32"/>
          <w:highlight w:val="none"/>
          <w:lang w:val="zh-CN" w:eastAsia="zh-CN"/>
        </w:rPr>
        <w:t>万元，占</w:t>
      </w:r>
      <w:r>
        <w:rPr>
          <w:rFonts w:hint="eastAsia" w:ascii="仿宋_GB2312" w:hAnsi="仿宋_GB2312" w:eastAsia="仿宋_GB2312" w:cs="仿宋_GB2312"/>
          <w:color w:val="auto"/>
          <w:sz w:val="32"/>
          <w:szCs w:val="32"/>
          <w:highlight w:val="none"/>
          <w:lang w:val="en-US" w:eastAsia="zh-CN"/>
        </w:rPr>
        <w:t>0.11</w:t>
      </w:r>
      <w:r>
        <w:rPr>
          <w:rFonts w:hint="eastAsia" w:ascii="仿宋_GB2312" w:hAnsi="仿宋_GB2312" w:eastAsia="仿宋_GB2312" w:cs="仿宋_GB2312"/>
          <w:color w:val="auto"/>
          <w:sz w:val="32"/>
          <w:szCs w:val="32"/>
          <w:highlight w:val="none"/>
          <w:lang w:val="zh-CN" w:eastAsia="zh-CN"/>
        </w:rPr>
        <w:t>%；城乡社区（类）支出</w:t>
      </w:r>
      <w:r>
        <w:rPr>
          <w:rFonts w:hint="eastAsia" w:ascii="仿宋_GB2312" w:hAnsi="仿宋_GB2312" w:eastAsia="仿宋_GB2312" w:cs="仿宋_GB2312"/>
          <w:color w:val="auto"/>
          <w:sz w:val="32"/>
          <w:szCs w:val="32"/>
          <w:highlight w:val="none"/>
          <w:lang w:val="en-US" w:eastAsia="zh-CN"/>
        </w:rPr>
        <w:t>41996.45万元，占99.33 %；住房保障（类）支出238.50万元，占0.56%</w:t>
      </w:r>
      <w:r>
        <w:rPr>
          <w:rFonts w:hint="eastAsia" w:ascii="仿宋_GB2312" w:hAnsi="仿宋_GB2312" w:eastAsia="仿宋_GB2312" w:cs="仿宋_GB2312"/>
          <w:color w:val="auto"/>
          <w:sz w:val="32"/>
          <w:szCs w:val="32"/>
          <w:highlight w:val="none"/>
          <w:lang w:val="zh-CN" w:eastAsia="zh-CN"/>
        </w:rPr>
        <w:t>。</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（三）具体情况。</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sz w:val="32"/>
          <w:szCs w:val="24"/>
          <w:highlight w:val="none"/>
          <w:lang w:val="en-US"/>
        </w:rPr>
        <w:t>2021年度一般公共预算财政拨款支出年初预算为</w:t>
      </w:r>
      <w:r>
        <w:rPr>
          <w:rFonts w:hint="eastAsia" w:ascii="仿宋_GB2312" w:hAnsi="仿宋_GB2312" w:eastAsia="仿宋_GB2312"/>
          <w:sz w:val="32"/>
          <w:szCs w:val="24"/>
          <w:highlight w:val="none"/>
          <w:lang w:val="en-US" w:eastAsia="zh-CN"/>
        </w:rPr>
        <w:t>845.83</w:t>
      </w:r>
      <w:r>
        <w:rPr>
          <w:rFonts w:hint="eastAsia" w:ascii="仿宋_GB2312" w:hAnsi="仿宋_GB2312" w:eastAsia="仿宋_GB2312"/>
          <w:sz w:val="32"/>
          <w:szCs w:val="24"/>
          <w:highlight w:val="none"/>
          <w:lang w:val="en-US"/>
        </w:rPr>
        <w:t>万元，支出决算为42,277.86万元，完成年初预算的3,207.22%。其中：</w:t>
      </w:r>
    </w:p>
    <w:p>
      <w:pPr>
        <w:spacing w:beforeLines="0" w:afterLines="0"/>
        <w:ind w:firstLine="643" w:firstLineChars="200"/>
        <w:jc w:val="left"/>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b/>
          <w:bCs/>
          <w:color w:val="auto"/>
          <w:sz w:val="32"/>
          <w:szCs w:val="32"/>
          <w:highlight w:val="none"/>
          <w:lang w:val="en-US" w:eastAsia="zh-CN"/>
        </w:rPr>
        <w:t>1．社会保障和就业支出（类）行政事业单位养老支出（款）行政单位离退休（项）。</w:t>
      </w:r>
      <w:r>
        <w:rPr>
          <w:rFonts w:hint="eastAsia" w:ascii="仿宋_GB2312" w:hAnsi="仿宋_GB2312" w:eastAsia="仿宋_GB2312" w:cs="仿宋_GB2312"/>
          <w:color w:val="auto"/>
          <w:sz w:val="32"/>
          <w:szCs w:val="32"/>
          <w:highlight w:val="none"/>
          <w:lang w:val="en-US" w:eastAsia="zh-CN"/>
        </w:rPr>
        <w:t>年初预算为42.70万元，支出决算为42.91万元，完成年初预算的100.49%。决算数与年初预算数存在差异的主要原因</w:t>
      </w:r>
      <w:r>
        <w:rPr>
          <w:rFonts w:hint="eastAsia" w:ascii="仿宋_GB2312" w:hAnsi="仿宋_GB2312" w:eastAsia="仿宋_GB2312" w:cs="仿宋_GB2312"/>
          <w:color w:val="auto"/>
          <w:sz w:val="32"/>
          <w:szCs w:val="32"/>
          <w:highlight w:val="none"/>
          <w:lang w:val="zh-CN" w:eastAsia="zh-CN"/>
        </w:rPr>
        <w:t>我部门今年行政退休人员增加。</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2．城乡社区支出（类）城乡社区管理事务（款）行政运行（项）。</w:t>
      </w:r>
      <w:r>
        <w:rPr>
          <w:rFonts w:hint="eastAsia" w:ascii="仿宋_GB2312" w:hAnsi="仿宋_GB2312" w:eastAsia="仿宋_GB2312" w:cs="仿宋_GB2312"/>
          <w:color w:val="auto"/>
          <w:sz w:val="32"/>
          <w:szCs w:val="32"/>
          <w:highlight w:val="none"/>
          <w:lang w:val="en-US" w:eastAsia="zh-CN"/>
        </w:rPr>
        <w:t>年初预算为260.93万元，支出决算为367.96万元，完成年初预算的141.02%。决算数与年初预算数存在差异的主要原因是我部门今年人员工资标准提高，经费增加。</w:t>
      </w:r>
    </w:p>
    <w:p>
      <w:pPr>
        <w:spacing w:beforeLines="0" w:afterLines="0"/>
        <w:ind w:firstLine="643" w:firstLineChars="200"/>
        <w:jc w:val="left"/>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b/>
          <w:bCs/>
          <w:color w:val="auto"/>
          <w:sz w:val="32"/>
          <w:szCs w:val="32"/>
          <w:highlight w:val="none"/>
          <w:lang w:val="en-US" w:eastAsia="zh-CN"/>
        </w:rPr>
        <w:t>3．城乡社区支出（类）城乡社区公共设施（款）其他城乡社区公共设施支出（项）。</w:t>
      </w:r>
      <w:r>
        <w:rPr>
          <w:rFonts w:hint="eastAsia" w:ascii="仿宋_GB2312" w:hAnsi="仿宋_GB2312" w:eastAsia="仿宋_GB2312" w:cs="仿宋_GB2312"/>
          <w:color w:val="auto"/>
          <w:sz w:val="32"/>
          <w:szCs w:val="32"/>
          <w:highlight w:val="none"/>
          <w:lang w:val="en-US" w:eastAsia="zh-CN"/>
        </w:rPr>
        <w:t>年初预算为50.00万元，支出决算为41628.49万元，完成年初预算的83256.98%。决算数与年初预算数存在差异的</w:t>
      </w:r>
      <w:r>
        <w:rPr>
          <w:rFonts w:hint="eastAsia" w:ascii="仿宋_GB2312" w:hAnsi="仿宋_GB2312" w:eastAsia="仿宋_GB2312" w:cs="仿宋_GB2312"/>
          <w:color w:val="auto"/>
          <w:sz w:val="32"/>
          <w:szCs w:val="32"/>
          <w:highlight w:val="none"/>
          <w:lang w:val="zh-CN" w:eastAsia="zh-CN"/>
        </w:rPr>
        <w:t>主要原因是该项目资金新增当年临时性支出。</w:t>
      </w:r>
    </w:p>
    <w:p>
      <w:pPr>
        <w:spacing w:beforeLines="0" w:afterLines="0"/>
        <w:ind w:firstLine="643" w:firstLineChars="200"/>
        <w:jc w:val="left"/>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b/>
          <w:bCs/>
          <w:color w:val="auto"/>
          <w:sz w:val="32"/>
          <w:szCs w:val="32"/>
          <w:highlight w:val="none"/>
          <w:lang w:val="en-US" w:eastAsia="zh-CN"/>
        </w:rPr>
        <w:t>4.住房保障支出（类）保障性安居工程支出（款）农村危房改造（项）。</w:t>
      </w:r>
      <w:r>
        <w:rPr>
          <w:rFonts w:hint="eastAsia" w:ascii="仿宋_GB2312" w:hAnsi="仿宋_GB2312" w:eastAsia="仿宋_GB2312" w:cs="仿宋_GB2312"/>
          <w:color w:val="auto"/>
          <w:sz w:val="32"/>
          <w:szCs w:val="32"/>
          <w:highlight w:val="none"/>
          <w:lang w:val="en-US" w:eastAsia="zh-CN"/>
        </w:rPr>
        <w:t>年初预算为2.20万元，支出决算为8.50万元，完成年初预算的386.36%。决算数与年初预算数存在差异的</w:t>
      </w:r>
      <w:r>
        <w:rPr>
          <w:rFonts w:hint="eastAsia" w:ascii="仿宋_GB2312" w:hAnsi="仿宋_GB2312" w:eastAsia="仿宋_GB2312" w:cs="仿宋_GB2312"/>
          <w:color w:val="auto"/>
          <w:sz w:val="32"/>
          <w:szCs w:val="32"/>
          <w:highlight w:val="none"/>
          <w:lang w:val="zh-CN" w:eastAsia="zh-CN"/>
        </w:rPr>
        <w:t>主要原因是新增项目未纳入年初预算，属于当年临时性支出。</w:t>
      </w:r>
    </w:p>
    <w:p>
      <w:pPr>
        <w:spacing w:beforeLines="0" w:afterLines="0"/>
        <w:ind w:firstLine="643" w:firstLineChars="200"/>
        <w:jc w:val="left"/>
        <w:rPr>
          <w:rFonts w:hint="eastAsia"/>
          <w:highlight w:val="none"/>
          <w:lang w:val="en-US" w:eastAsia="zh-CN"/>
        </w:rPr>
      </w:pPr>
      <w:r>
        <w:rPr>
          <w:rFonts w:hint="eastAsia" w:ascii="仿宋_GB2312" w:hAnsi="仿宋_GB2312" w:eastAsia="仿宋_GB2312" w:cs="仿宋_GB2312"/>
          <w:b/>
          <w:bCs/>
          <w:color w:val="auto"/>
          <w:sz w:val="32"/>
          <w:szCs w:val="32"/>
          <w:highlight w:val="none"/>
          <w:lang w:val="en-US" w:eastAsia="zh-CN"/>
        </w:rPr>
        <w:t>5.住房保障支出（类）保障性安居工程支出（款）老旧小区改造（项）。</w:t>
      </w:r>
      <w:r>
        <w:rPr>
          <w:rFonts w:hint="eastAsia" w:ascii="仿宋_GB2312" w:hAnsi="仿宋_GB2312" w:eastAsia="仿宋_GB2312" w:cs="仿宋_GB2312"/>
          <w:color w:val="auto"/>
          <w:sz w:val="32"/>
          <w:szCs w:val="32"/>
          <w:highlight w:val="none"/>
          <w:lang w:val="en-US" w:eastAsia="zh-CN"/>
        </w:rPr>
        <w:t>年初预算为490.00万元，支出决算为230.00万元，完成年初预算的46.94%。决算数与年初预算数存在差异的</w:t>
      </w:r>
      <w:r>
        <w:rPr>
          <w:rFonts w:hint="eastAsia" w:ascii="仿宋_GB2312" w:hAnsi="仿宋_GB2312" w:eastAsia="仿宋_GB2312" w:cs="仿宋_GB2312"/>
          <w:color w:val="auto"/>
          <w:sz w:val="32"/>
          <w:szCs w:val="32"/>
          <w:highlight w:val="none"/>
          <w:lang w:val="zh-CN" w:eastAsia="zh-CN"/>
        </w:rPr>
        <w:t>主要原因是</w:t>
      </w:r>
      <w:r>
        <w:rPr>
          <w:rFonts w:hint="eastAsia" w:ascii="仿宋_GB2312" w:hAnsi="仿宋_GB2312" w:eastAsia="仿宋_GB2312" w:cs="仿宋_GB2312"/>
          <w:color w:val="auto"/>
          <w:sz w:val="32"/>
          <w:szCs w:val="32"/>
          <w:highlight w:val="none"/>
          <w:lang w:val="en-US" w:eastAsia="zh-CN"/>
        </w:rPr>
        <w:t>该项目部分资金未达到拨付条件。</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六、一般公共预算财政拨款基本支出决算情况说明</w:t>
      </w:r>
    </w:p>
    <w:p>
      <w:pPr>
        <w:spacing w:beforeLines="0" w:afterLines="0" w:line="590" w:lineRule="exact"/>
        <w:ind w:firstLine="640"/>
        <w:rPr>
          <w:rFonts w:hint="eastAsia" w:ascii="Times New Roman" w:hAnsi="Times New Roman" w:eastAsia="仿宋_GB2312"/>
          <w:kern w:val="0"/>
          <w:sz w:val="18"/>
          <w:szCs w:val="24"/>
          <w:highlight w:val="none"/>
          <w:lang w:val="zh-CN" w:eastAsia="zh-CN"/>
        </w:rPr>
      </w:pPr>
      <w:r>
        <w:rPr>
          <w:rFonts w:hint="eastAsia" w:ascii="仿宋_GB2312" w:hAnsi="仿宋_GB2312" w:eastAsia="仿宋_GB2312"/>
          <w:sz w:val="32"/>
          <w:szCs w:val="24"/>
          <w:highlight w:val="none"/>
          <w:lang w:val="en-US"/>
        </w:rPr>
        <w:t>2021年度一般公共预算财政拨款基本支出410.86万元。其中：人员经费344.16万元，主要包括：基本工资、津贴补贴、机关事业单位基本养老保险缴费、其他社会保障缴费、</w:t>
      </w:r>
      <w:r>
        <w:rPr>
          <w:rFonts w:hint="eastAsia" w:ascii="仿宋_GB2312" w:hAnsi="仿宋_GB2312" w:eastAsia="仿宋_GB2312"/>
          <w:sz w:val="32"/>
          <w:szCs w:val="24"/>
          <w:highlight w:val="none"/>
          <w:lang w:val="en-US" w:eastAsia="zh-CN"/>
        </w:rPr>
        <w:t>其他工资福利支出、</w:t>
      </w:r>
      <w:r>
        <w:rPr>
          <w:rFonts w:hint="eastAsia" w:ascii="仿宋_GB2312" w:hAnsi="仿宋_GB2312" w:eastAsia="仿宋_GB2312"/>
          <w:sz w:val="32"/>
          <w:szCs w:val="24"/>
          <w:highlight w:val="none"/>
          <w:lang w:val="en-US"/>
        </w:rPr>
        <w:t>退休费；公用经费66.7</w:t>
      </w:r>
      <w:r>
        <w:rPr>
          <w:rFonts w:hint="eastAsia" w:ascii="仿宋_GB2312" w:hAnsi="仿宋_GB2312" w:eastAsia="仿宋_GB2312"/>
          <w:sz w:val="32"/>
          <w:szCs w:val="24"/>
          <w:highlight w:val="none"/>
          <w:lang w:val="en-US" w:eastAsia="zh-CN"/>
        </w:rPr>
        <w:t>0</w:t>
      </w:r>
      <w:r>
        <w:rPr>
          <w:rFonts w:hint="eastAsia" w:ascii="仿宋_GB2312" w:hAnsi="仿宋_GB2312" w:eastAsia="仿宋_GB2312"/>
          <w:sz w:val="32"/>
          <w:szCs w:val="24"/>
          <w:highlight w:val="none"/>
          <w:lang w:val="en-US"/>
        </w:rPr>
        <w:t>万元，主要包括：办公费、咨询费、邮电费、差旅费、维修（护）费</w:t>
      </w:r>
      <w:r>
        <w:rPr>
          <w:rFonts w:hint="eastAsia" w:ascii="仿宋_GB2312" w:hAnsi="仿宋_GB2312" w:eastAsia="仿宋_GB2312"/>
          <w:sz w:val="32"/>
          <w:szCs w:val="24"/>
          <w:highlight w:val="none"/>
          <w:lang w:val="en-US" w:eastAsia="zh-CN"/>
        </w:rPr>
        <w:t>。</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七、一般公共预算财政拨款“三公”经费支出决算情况说明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（一）“三公”经费财政拨款支出决算总体情况说明。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zh-CN" w:eastAsia="zh-CN"/>
        </w:rPr>
        <w:t>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zh-CN" w:eastAsia="zh-CN"/>
        </w:rPr>
        <w:t>年度</w:t>
      </w:r>
      <w:r>
        <w:rPr>
          <w:rFonts w:hint="default" w:ascii="仿宋_GB2312" w:hAnsi="仿宋_GB2312" w:eastAsia="仿宋_GB2312" w:cs="仿宋_GB2312"/>
          <w:color w:val="auto"/>
          <w:sz w:val="32"/>
          <w:szCs w:val="32"/>
          <w:highlight w:val="none"/>
          <w:lang w:val="zh-CN" w:eastAsia="zh-CN"/>
        </w:rPr>
        <w:t>“</w:t>
      </w:r>
      <w:r>
        <w:rPr>
          <w:rFonts w:hint="eastAsia" w:ascii="仿宋_GB2312" w:hAnsi="仿宋_GB2312" w:eastAsia="仿宋_GB2312" w:cs="仿宋_GB2312"/>
          <w:color w:val="auto"/>
          <w:sz w:val="32"/>
          <w:szCs w:val="32"/>
          <w:highlight w:val="none"/>
          <w:lang w:val="zh-CN" w:eastAsia="zh-CN"/>
        </w:rPr>
        <w:t>三公</w:t>
      </w:r>
      <w:r>
        <w:rPr>
          <w:rFonts w:hint="default" w:ascii="仿宋_GB2312" w:hAnsi="仿宋_GB2312" w:eastAsia="仿宋_GB2312" w:cs="仿宋_GB2312"/>
          <w:color w:val="auto"/>
          <w:sz w:val="32"/>
          <w:szCs w:val="32"/>
          <w:highlight w:val="none"/>
          <w:lang w:val="zh-CN" w:eastAsia="zh-CN"/>
        </w:rPr>
        <w:t>”</w:t>
      </w:r>
      <w:r>
        <w:rPr>
          <w:rFonts w:hint="eastAsia" w:ascii="仿宋_GB2312" w:hAnsi="仿宋_GB2312" w:eastAsia="仿宋_GB2312" w:cs="仿宋_GB2312"/>
          <w:color w:val="auto"/>
          <w:sz w:val="32"/>
          <w:szCs w:val="32"/>
          <w:highlight w:val="none"/>
          <w:lang w:val="zh-CN" w:eastAsia="zh-CN"/>
        </w:rPr>
        <w:t>经费财政拨款支出预算为</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lang w:val="zh-CN" w:eastAsia="zh-CN"/>
        </w:rPr>
        <w:t>0万元，支出决算为</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lang w:val="zh-CN" w:eastAsia="zh-CN"/>
        </w:rPr>
        <w:t>0万元，完成预算的</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lang w:val="zh-CN" w:eastAsia="zh-CN"/>
        </w:rPr>
        <w:t>0%。202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zh-CN" w:eastAsia="zh-CN"/>
        </w:rPr>
        <w:t>年度</w:t>
      </w:r>
      <w:r>
        <w:rPr>
          <w:rFonts w:hint="default" w:ascii="仿宋_GB2312" w:hAnsi="仿宋_GB2312" w:eastAsia="仿宋_GB2312" w:cs="仿宋_GB2312"/>
          <w:color w:val="auto"/>
          <w:sz w:val="32"/>
          <w:szCs w:val="32"/>
          <w:highlight w:val="none"/>
          <w:lang w:val="zh-CN" w:eastAsia="zh-CN"/>
        </w:rPr>
        <w:t>“</w:t>
      </w:r>
      <w:r>
        <w:rPr>
          <w:rFonts w:hint="eastAsia" w:ascii="仿宋_GB2312" w:hAnsi="仿宋_GB2312" w:eastAsia="仿宋_GB2312" w:cs="仿宋_GB2312"/>
          <w:color w:val="auto"/>
          <w:sz w:val="32"/>
          <w:szCs w:val="32"/>
          <w:highlight w:val="none"/>
          <w:lang w:val="zh-CN" w:eastAsia="zh-CN"/>
        </w:rPr>
        <w:t>三公</w:t>
      </w:r>
      <w:r>
        <w:rPr>
          <w:rFonts w:hint="default" w:ascii="仿宋_GB2312" w:hAnsi="仿宋_GB2312" w:eastAsia="仿宋_GB2312" w:cs="仿宋_GB2312"/>
          <w:color w:val="auto"/>
          <w:sz w:val="32"/>
          <w:szCs w:val="32"/>
          <w:highlight w:val="none"/>
          <w:lang w:val="zh-CN" w:eastAsia="zh-CN"/>
        </w:rPr>
        <w:t>”</w:t>
      </w:r>
      <w:r>
        <w:rPr>
          <w:rFonts w:hint="eastAsia" w:ascii="仿宋_GB2312" w:hAnsi="仿宋_GB2312" w:eastAsia="仿宋_GB2312" w:cs="仿宋_GB2312"/>
          <w:color w:val="auto"/>
          <w:sz w:val="32"/>
          <w:szCs w:val="32"/>
          <w:highlight w:val="none"/>
          <w:lang w:val="zh-CN" w:eastAsia="zh-CN"/>
        </w:rPr>
        <w:t>经费支出决算数与预算数</w:t>
      </w:r>
      <w:r>
        <w:rPr>
          <w:rFonts w:hint="eastAsia" w:ascii="仿宋_GB2312" w:hAnsi="仿宋_GB2312" w:eastAsia="仿宋_GB2312" w:cs="仿宋_GB2312"/>
          <w:color w:val="auto"/>
          <w:sz w:val="32"/>
          <w:szCs w:val="32"/>
          <w:highlight w:val="none"/>
          <w:lang w:val="en-US" w:eastAsia="zh-CN"/>
        </w:rPr>
        <w:t>不</w:t>
      </w:r>
      <w:r>
        <w:rPr>
          <w:rFonts w:hint="eastAsia" w:ascii="仿宋_GB2312" w:hAnsi="仿宋_GB2312" w:eastAsia="仿宋_GB2312" w:cs="仿宋_GB2312"/>
          <w:color w:val="auto"/>
          <w:sz w:val="32"/>
          <w:szCs w:val="32"/>
          <w:highlight w:val="none"/>
          <w:lang w:val="zh-CN" w:eastAsia="zh-CN"/>
        </w:rPr>
        <w:t>存在差异。</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（二）“三公”经费财政拨款支出决算具体情况说明。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zh-CN" w:eastAsia="zh-CN"/>
        </w:rPr>
        <w:t>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zh-CN" w:eastAsia="zh-CN"/>
        </w:rPr>
        <w:t>年度</w:t>
      </w:r>
      <w:r>
        <w:rPr>
          <w:rFonts w:hint="default" w:ascii="仿宋_GB2312" w:hAnsi="仿宋_GB2312" w:eastAsia="仿宋_GB2312" w:cs="仿宋_GB2312"/>
          <w:color w:val="auto"/>
          <w:sz w:val="32"/>
          <w:szCs w:val="32"/>
          <w:highlight w:val="none"/>
          <w:lang w:val="zh-CN" w:eastAsia="zh-CN"/>
        </w:rPr>
        <w:t>“</w:t>
      </w:r>
      <w:r>
        <w:rPr>
          <w:rFonts w:hint="eastAsia" w:ascii="仿宋_GB2312" w:hAnsi="仿宋_GB2312" w:eastAsia="仿宋_GB2312" w:cs="仿宋_GB2312"/>
          <w:color w:val="auto"/>
          <w:sz w:val="32"/>
          <w:szCs w:val="32"/>
          <w:highlight w:val="none"/>
          <w:lang w:val="zh-CN" w:eastAsia="zh-CN"/>
        </w:rPr>
        <w:t>三公</w:t>
      </w:r>
      <w:r>
        <w:rPr>
          <w:rFonts w:hint="default" w:ascii="仿宋_GB2312" w:hAnsi="仿宋_GB2312" w:eastAsia="仿宋_GB2312" w:cs="仿宋_GB2312"/>
          <w:color w:val="auto"/>
          <w:sz w:val="32"/>
          <w:szCs w:val="32"/>
          <w:highlight w:val="none"/>
          <w:lang w:val="zh-CN" w:eastAsia="zh-CN"/>
        </w:rPr>
        <w:t>”</w:t>
      </w:r>
      <w:r>
        <w:rPr>
          <w:rFonts w:hint="eastAsia" w:ascii="仿宋_GB2312" w:hAnsi="仿宋_GB2312" w:eastAsia="仿宋_GB2312" w:cs="仿宋_GB2312"/>
          <w:color w:val="auto"/>
          <w:sz w:val="32"/>
          <w:szCs w:val="32"/>
          <w:highlight w:val="none"/>
          <w:lang w:val="zh-CN" w:eastAsia="zh-CN"/>
        </w:rPr>
        <w:t>经费财政拨款支出决算中，因公出国（境）费支出决算</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lang w:val="zh-CN" w:eastAsia="zh-CN"/>
        </w:rPr>
        <w:t>0万元，完成预算的</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lang w:val="zh-CN" w:eastAsia="zh-CN"/>
        </w:rPr>
        <w:t>0%，占</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lang w:val="zh-CN" w:eastAsia="zh-CN"/>
        </w:rPr>
        <w:t>0%；公务用车购置及运行费支出决算</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lang w:val="zh-CN" w:eastAsia="zh-CN"/>
        </w:rPr>
        <w:t>0万元，完成预算的</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lang w:val="zh-CN" w:eastAsia="zh-CN"/>
        </w:rPr>
        <w:t>0%，占</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lang w:val="zh-CN" w:eastAsia="zh-CN"/>
        </w:rPr>
        <w:t>0%；公务接待费支出决算</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lang w:val="zh-CN" w:eastAsia="zh-CN"/>
        </w:rPr>
        <w:t>0万元，完成预算的</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lang w:val="zh-CN" w:eastAsia="zh-CN"/>
        </w:rPr>
        <w:t>0%，占</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lang w:val="zh-CN" w:eastAsia="zh-CN"/>
        </w:rPr>
        <w:t>0%；具体情况如下：</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1．因公出国（境）费</w:t>
      </w:r>
      <w:r>
        <w:rPr>
          <w:rFonts w:hint="eastAsia" w:ascii="仿宋_GB2312" w:hAnsi="仿宋_GB2312" w:eastAsia="仿宋_GB2312" w:cs="仿宋_GB2312"/>
          <w:color w:val="auto"/>
          <w:sz w:val="32"/>
          <w:szCs w:val="32"/>
          <w:highlight w:val="none"/>
          <w:lang w:val="en-US" w:eastAsia="zh-CN"/>
        </w:rPr>
        <w:t>预算为0.0</w:t>
      </w:r>
      <w:r>
        <w:rPr>
          <w:rFonts w:hint="eastAsia" w:ascii="仿宋_GB2312" w:hAnsi="仿宋_GB2312" w:eastAsia="仿宋_GB2312" w:cs="仿宋_GB2312"/>
          <w:color w:val="auto"/>
          <w:sz w:val="32"/>
          <w:szCs w:val="32"/>
          <w:highlight w:val="none"/>
          <w:lang w:val="zh-CN" w:eastAsia="zh-CN"/>
        </w:rPr>
        <w:t>0</w:t>
      </w:r>
      <w:r>
        <w:rPr>
          <w:rFonts w:hint="eastAsia" w:ascii="仿宋_GB2312" w:hAnsi="仿宋_GB2312" w:eastAsia="仿宋_GB2312" w:cs="仿宋_GB2312"/>
          <w:color w:val="auto"/>
          <w:sz w:val="32"/>
          <w:szCs w:val="32"/>
          <w:highlight w:val="none"/>
          <w:lang w:val="en-US" w:eastAsia="zh-CN"/>
        </w:rPr>
        <w:t>万元，支出决算为0.0</w:t>
      </w:r>
      <w:r>
        <w:rPr>
          <w:rFonts w:hint="eastAsia" w:ascii="仿宋_GB2312" w:hAnsi="仿宋_GB2312" w:eastAsia="仿宋_GB2312" w:cs="仿宋_GB2312"/>
          <w:color w:val="auto"/>
          <w:sz w:val="32"/>
          <w:szCs w:val="32"/>
          <w:highlight w:val="none"/>
          <w:lang w:val="zh-CN" w:eastAsia="zh-CN"/>
        </w:rPr>
        <w:t>0</w:t>
      </w:r>
      <w:r>
        <w:rPr>
          <w:rFonts w:hint="eastAsia" w:ascii="仿宋_GB2312" w:hAnsi="仿宋_GB2312" w:eastAsia="仿宋_GB2312" w:cs="仿宋_GB2312"/>
          <w:color w:val="auto"/>
          <w:sz w:val="32"/>
          <w:szCs w:val="32"/>
          <w:highlight w:val="none"/>
          <w:lang w:val="en-US" w:eastAsia="zh-CN"/>
        </w:rPr>
        <w:t>万元，完成年初预算的0.00%。决算数与预算数不存在差异。全年因公出国（境）团组0个，累计0人次。</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2．公务用车购置及运行费</w:t>
      </w:r>
      <w:r>
        <w:rPr>
          <w:rFonts w:hint="eastAsia" w:ascii="仿宋_GB2312" w:hAnsi="仿宋_GB2312" w:eastAsia="仿宋_GB2312" w:cs="仿宋_GB2312"/>
          <w:color w:val="auto"/>
          <w:sz w:val="32"/>
          <w:szCs w:val="32"/>
          <w:highlight w:val="none"/>
          <w:lang w:val="en-US" w:eastAsia="zh-CN"/>
        </w:rPr>
        <w:t>预算为0.0</w:t>
      </w:r>
      <w:r>
        <w:rPr>
          <w:rFonts w:hint="eastAsia" w:ascii="仿宋_GB2312" w:hAnsi="仿宋_GB2312" w:eastAsia="仿宋_GB2312" w:cs="仿宋_GB2312"/>
          <w:color w:val="auto"/>
          <w:sz w:val="32"/>
          <w:szCs w:val="32"/>
          <w:highlight w:val="none"/>
          <w:lang w:val="zh-CN" w:eastAsia="zh-CN"/>
        </w:rPr>
        <w:t>0</w:t>
      </w:r>
      <w:r>
        <w:rPr>
          <w:rFonts w:hint="eastAsia" w:ascii="仿宋_GB2312" w:hAnsi="仿宋_GB2312" w:eastAsia="仿宋_GB2312" w:cs="仿宋_GB2312"/>
          <w:color w:val="auto"/>
          <w:sz w:val="32"/>
          <w:szCs w:val="32"/>
          <w:highlight w:val="none"/>
          <w:lang w:val="en-US" w:eastAsia="zh-CN"/>
        </w:rPr>
        <w:t>万元，支出决算为0.00万元，完成年初预算的0.00%。决算数与预算数不存在差异。</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其中：</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公务用车购置支出</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lang w:val="zh-CN" w:eastAsia="zh-CN"/>
        </w:rPr>
        <w:t>0</w:t>
      </w:r>
      <w:r>
        <w:rPr>
          <w:rFonts w:hint="eastAsia" w:ascii="仿宋_GB2312" w:hAnsi="仿宋_GB2312" w:eastAsia="仿宋_GB2312" w:cs="仿宋_GB2312"/>
          <w:color w:val="auto"/>
          <w:sz w:val="32"/>
          <w:szCs w:val="32"/>
          <w:highlight w:val="none"/>
          <w:lang w:val="en-US" w:eastAsia="zh-CN"/>
        </w:rPr>
        <w:t>万元，购置车辆0辆。</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公务用车运行支出</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lang w:val="zh-CN" w:eastAsia="zh-CN"/>
        </w:rPr>
        <w:t>0</w:t>
      </w:r>
      <w:r>
        <w:rPr>
          <w:rFonts w:hint="eastAsia" w:ascii="仿宋_GB2312" w:hAnsi="仿宋_GB2312" w:eastAsia="仿宋_GB2312" w:cs="仿宋_GB2312"/>
          <w:color w:val="auto"/>
          <w:sz w:val="32"/>
          <w:szCs w:val="32"/>
          <w:highlight w:val="none"/>
          <w:lang w:val="en-US" w:eastAsia="zh-CN"/>
        </w:rPr>
        <w:t>万元。2021年期末，部门开支财政拨款的公务用车保有量为0辆。</w:t>
      </w:r>
    </w:p>
    <w:p>
      <w:pPr>
        <w:keepNext w:val="0"/>
        <w:keepLines w:val="0"/>
        <w:pageBreakBefore w:val="0"/>
        <w:widowControl/>
        <w:numPr>
          <w:ilvl w:val="0"/>
          <w:numId w:val="2"/>
        </w:numPr>
        <w:kinsoku/>
        <w:wordWrap/>
        <w:overflowPunct/>
        <w:topLinePunct w:val="0"/>
        <w:autoSpaceDE/>
        <w:autoSpaceDN/>
        <w:bidi w:val="0"/>
        <w:adjustRightInd/>
        <w:snapToGrid/>
        <w:spacing w:line="590" w:lineRule="exact"/>
        <w:ind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公务接待费</w:t>
      </w:r>
      <w:r>
        <w:rPr>
          <w:rFonts w:hint="eastAsia" w:ascii="仿宋_GB2312" w:hAnsi="仿宋_GB2312" w:eastAsia="仿宋_GB2312" w:cs="仿宋_GB2312"/>
          <w:color w:val="auto"/>
          <w:sz w:val="32"/>
          <w:szCs w:val="32"/>
          <w:highlight w:val="none"/>
          <w:lang w:val="en-US" w:eastAsia="zh-CN"/>
        </w:rPr>
        <w:t>预算为0.0</w:t>
      </w:r>
      <w:r>
        <w:rPr>
          <w:rFonts w:hint="eastAsia" w:ascii="仿宋_GB2312" w:hAnsi="仿宋_GB2312" w:eastAsia="仿宋_GB2312" w:cs="仿宋_GB2312"/>
          <w:color w:val="auto"/>
          <w:sz w:val="32"/>
          <w:szCs w:val="32"/>
          <w:highlight w:val="none"/>
          <w:lang w:val="zh-CN" w:eastAsia="zh-CN"/>
        </w:rPr>
        <w:t>0</w:t>
      </w:r>
      <w:r>
        <w:rPr>
          <w:rFonts w:hint="eastAsia" w:ascii="仿宋_GB2312" w:hAnsi="仿宋_GB2312" w:eastAsia="仿宋_GB2312" w:cs="仿宋_GB2312"/>
          <w:color w:val="auto"/>
          <w:sz w:val="32"/>
          <w:szCs w:val="32"/>
          <w:highlight w:val="none"/>
          <w:lang w:val="en-US" w:eastAsia="zh-CN"/>
        </w:rPr>
        <w:t>万元，支出决算为0.0</w:t>
      </w:r>
      <w:r>
        <w:rPr>
          <w:rFonts w:hint="eastAsia" w:ascii="仿宋_GB2312" w:hAnsi="仿宋_GB2312" w:eastAsia="仿宋_GB2312" w:cs="仿宋_GB2312"/>
          <w:color w:val="auto"/>
          <w:sz w:val="32"/>
          <w:szCs w:val="32"/>
          <w:highlight w:val="none"/>
          <w:lang w:val="zh-CN" w:eastAsia="zh-CN"/>
        </w:rPr>
        <w:t>0</w:t>
      </w:r>
      <w:r>
        <w:rPr>
          <w:rFonts w:hint="eastAsia" w:ascii="仿宋_GB2312" w:hAnsi="仿宋_GB2312" w:eastAsia="仿宋_GB2312" w:cs="仿宋_GB2312"/>
          <w:color w:val="auto"/>
          <w:sz w:val="32"/>
          <w:szCs w:val="32"/>
          <w:highlight w:val="none"/>
          <w:lang w:val="en-US" w:eastAsia="zh-CN"/>
        </w:rPr>
        <w:t>万元，完成年初预算的0.00%。决算数与预算数不存在差异。</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其中：</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外宾接待支出</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lang w:val="zh-CN" w:eastAsia="zh-CN"/>
        </w:rPr>
        <w:t>0</w:t>
      </w:r>
      <w:r>
        <w:rPr>
          <w:rFonts w:hint="eastAsia" w:ascii="仿宋_GB2312" w:hAnsi="仿宋_GB2312" w:eastAsia="仿宋_GB2312" w:cs="仿宋_GB2312"/>
          <w:color w:val="auto"/>
          <w:sz w:val="32"/>
          <w:szCs w:val="32"/>
          <w:highlight w:val="none"/>
          <w:lang w:val="en-US" w:eastAsia="zh-CN"/>
        </w:rPr>
        <w:t>万元。2021年共接待国（境）外来访团组0个、来访外宾0人次（不包括陪同人员）。</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1"/>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其他国内公务接待支出</w:t>
      </w:r>
      <w:r>
        <w:rPr>
          <w:rFonts w:hint="eastAsia" w:ascii="仿宋_GB2312" w:hAnsi="仿宋_GB2312" w:eastAsia="仿宋_GB2312" w:cs="仿宋_GB2312"/>
          <w:color w:val="auto"/>
          <w:sz w:val="32"/>
          <w:szCs w:val="32"/>
          <w:highlight w:val="none"/>
          <w:lang w:val="en-US" w:eastAsia="zh-CN"/>
        </w:rPr>
        <w:t>0.00元。2021年共接待国内来访团组0个、来宾0人次（不包括陪同人员）。</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八、政府性基金预算财政拨款支出决算情况说明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1"/>
        <w:rPr>
          <w:rFonts w:hint="eastAsia" w:ascii="仿宋_GB2312" w:hAnsi="仿宋_GB2312" w:eastAsia="仿宋_GB2312"/>
          <w:sz w:val="32"/>
          <w:szCs w:val="24"/>
          <w:highlight w:val="none"/>
          <w:lang w:val="en-US"/>
        </w:rPr>
      </w:pPr>
      <w:r>
        <w:rPr>
          <w:rFonts w:hint="eastAsia" w:ascii="仿宋_GB2312" w:hAnsi="仿宋_GB2312" w:eastAsia="仿宋_GB2312"/>
          <w:sz w:val="32"/>
          <w:szCs w:val="24"/>
          <w:highlight w:val="none"/>
          <w:lang w:val="en-US"/>
        </w:rPr>
        <w:t>2021年度政府性基金预算财政拨款支出年初预算为</w:t>
      </w:r>
      <w:r>
        <w:rPr>
          <w:rFonts w:hint="eastAsia" w:ascii="仿宋_GB2312" w:hAnsi="仿宋_GB2312" w:eastAsia="仿宋_GB2312"/>
          <w:sz w:val="32"/>
          <w:szCs w:val="24"/>
          <w:highlight w:val="none"/>
          <w:lang w:val="en-US" w:eastAsia="zh-CN"/>
        </w:rPr>
        <w:t>0.00</w:t>
      </w:r>
      <w:r>
        <w:rPr>
          <w:rFonts w:hint="eastAsia" w:ascii="仿宋_GB2312" w:hAnsi="仿宋_GB2312" w:eastAsia="仿宋_GB2312"/>
          <w:sz w:val="32"/>
          <w:szCs w:val="24"/>
          <w:highlight w:val="none"/>
          <w:lang w:val="en-US"/>
        </w:rPr>
        <w:t>万元，支出决算为39,156.95万元。</w:t>
      </w:r>
      <w:r>
        <w:rPr>
          <w:rFonts w:hint="eastAsia" w:ascii="仿宋_GB2312" w:hAnsi="仿宋_GB2312" w:eastAsia="仿宋_GB2312" w:cs="仿宋_GB2312"/>
          <w:color w:val="auto"/>
          <w:sz w:val="32"/>
          <w:szCs w:val="32"/>
          <w:highlight w:val="none"/>
          <w:lang w:val="en-US" w:eastAsia="zh-CN"/>
        </w:rPr>
        <w:t>不存在项目年末结转和结余资金数额较大。</w:t>
      </w:r>
      <w:r>
        <w:rPr>
          <w:rFonts w:hint="eastAsia" w:ascii="仿宋_GB2312" w:hAnsi="仿宋_GB2312" w:eastAsia="仿宋_GB2312"/>
          <w:sz w:val="32"/>
          <w:szCs w:val="24"/>
          <w:highlight w:val="none"/>
          <w:lang w:val="en-US"/>
        </w:rPr>
        <w:t>主要用于国有土地使用权出让收入安排的支出</w:t>
      </w:r>
      <w:r>
        <w:rPr>
          <w:rFonts w:hint="eastAsia" w:ascii="仿宋_GB2312" w:hAnsi="仿宋_GB2312" w:eastAsia="仿宋_GB2312"/>
          <w:sz w:val="32"/>
          <w:szCs w:val="24"/>
          <w:highlight w:val="none"/>
          <w:lang w:val="en-US" w:eastAsia="zh-CN"/>
        </w:rPr>
        <w:t>和</w:t>
      </w:r>
      <w:r>
        <w:rPr>
          <w:rFonts w:hint="eastAsia" w:ascii="仿宋_GB2312" w:hAnsi="仿宋_GB2312" w:eastAsia="仿宋_GB2312"/>
          <w:sz w:val="32"/>
          <w:szCs w:val="24"/>
          <w:highlight w:val="none"/>
          <w:lang w:val="en-US"/>
        </w:rPr>
        <w:t>棚户区改造专项债券收入安排的支出。</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九、机关运行经费支出情况说明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2021年度机关运行经费年初预算为18.90万元，支出决66.70万元，完成年初预</w:t>
      </w:r>
      <w:r>
        <w:rPr>
          <w:rFonts w:hint="default" w:ascii="仿宋_GB2312" w:hAnsi="仿宋_GB2312" w:eastAsia="仿宋_GB2312" w:cs="仿宋_GB2312"/>
          <w:color w:val="auto"/>
          <w:sz w:val="32"/>
          <w:szCs w:val="32"/>
          <w:highlight w:val="none"/>
          <w:lang w:eastAsia="zh-CN"/>
        </w:rPr>
        <w:t>3</w:t>
      </w:r>
      <w:r>
        <w:rPr>
          <w:rFonts w:hint="eastAsia" w:ascii="仿宋_GB2312" w:hAnsi="仿宋_GB2312" w:eastAsia="仿宋_GB2312" w:cs="仿宋_GB2312"/>
          <w:color w:val="auto"/>
          <w:sz w:val="32"/>
          <w:szCs w:val="32"/>
          <w:highlight w:val="none"/>
          <w:lang w:val="en-US" w:eastAsia="zh-CN"/>
        </w:rPr>
        <w:t>52.91%。决算数与年初预算数存在差异的主要原因是</w:t>
      </w:r>
      <w:r>
        <w:rPr>
          <w:rFonts w:hint="default" w:ascii="仿宋_GB2312" w:hAnsi="仿宋_GB2312" w:eastAsia="仿宋_GB2312" w:cs="仿宋_GB2312"/>
          <w:color w:val="auto"/>
          <w:sz w:val="32"/>
          <w:szCs w:val="32"/>
          <w:highlight w:val="none"/>
          <w:lang w:eastAsia="zh-CN"/>
        </w:rPr>
        <w:t>我部门今年</w:t>
      </w:r>
      <w:r>
        <w:rPr>
          <w:rFonts w:hint="eastAsia" w:ascii="仿宋_GB2312" w:hAnsi="仿宋_GB2312" w:eastAsia="仿宋_GB2312" w:cs="仿宋_GB2312"/>
          <w:color w:val="auto"/>
          <w:sz w:val="32"/>
          <w:szCs w:val="32"/>
          <w:highlight w:val="none"/>
          <w:lang w:eastAsia="zh-CN"/>
        </w:rPr>
        <w:t>因工作量增加，</w:t>
      </w:r>
      <w:r>
        <w:rPr>
          <w:rFonts w:hint="default" w:ascii="仿宋_GB2312" w:hAnsi="仿宋_GB2312" w:eastAsia="仿宋_GB2312" w:cs="仿宋_GB2312"/>
          <w:color w:val="auto"/>
          <w:sz w:val="32"/>
          <w:szCs w:val="32"/>
          <w:highlight w:val="none"/>
          <w:lang w:eastAsia="zh-CN"/>
        </w:rPr>
        <w:t>机关运行经费支出</w:t>
      </w:r>
      <w:r>
        <w:rPr>
          <w:rFonts w:hint="eastAsia" w:ascii="仿宋_GB2312" w:hAnsi="仿宋_GB2312" w:eastAsia="仿宋_GB2312" w:cs="仿宋_GB2312"/>
          <w:color w:val="auto"/>
          <w:sz w:val="32"/>
          <w:szCs w:val="32"/>
          <w:highlight w:val="none"/>
          <w:lang w:eastAsia="zh-CN"/>
        </w:rPr>
        <w:t>也相应增加</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十、政府采购支出情况说明</w:t>
      </w:r>
    </w:p>
    <w:p>
      <w:pPr>
        <w:spacing w:beforeLines="0" w:afterLines="0" w:line="590" w:lineRule="exact"/>
        <w:ind w:firstLine="640"/>
        <w:rPr>
          <w:rFonts w:hint="default" w:ascii="Times New Roman" w:hAnsi="Times New Roman" w:eastAsia="Times New Roman"/>
          <w:kern w:val="0"/>
          <w:sz w:val="18"/>
          <w:szCs w:val="24"/>
          <w:highlight w:val="none"/>
          <w:lang w:val="zh-CN"/>
        </w:rPr>
      </w:pPr>
      <w:r>
        <w:rPr>
          <w:rFonts w:hint="eastAsia" w:ascii="仿宋_GB2312" w:hAnsi="仿宋_GB2312" w:eastAsia="仿宋_GB2312"/>
          <w:sz w:val="32"/>
          <w:szCs w:val="24"/>
          <w:highlight w:val="none"/>
          <w:lang w:val="en-US"/>
        </w:rPr>
        <w:t>2021年度政府采购支出总额</w:t>
      </w:r>
      <w:r>
        <w:rPr>
          <w:rFonts w:hint="eastAsia" w:ascii="仿宋_GB2312" w:hAnsi="仿宋_GB2312" w:eastAsia="仿宋_GB2312"/>
          <w:sz w:val="32"/>
          <w:szCs w:val="24"/>
          <w:highlight w:val="none"/>
          <w:lang w:val="en-US" w:eastAsia="zh-CN"/>
        </w:rPr>
        <w:t>0.0</w:t>
      </w:r>
      <w:r>
        <w:rPr>
          <w:rFonts w:hint="eastAsia" w:ascii="仿宋_GB2312" w:hAnsi="仿宋_GB2312" w:eastAsia="仿宋_GB2312"/>
          <w:sz w:val="32"/>
          <w:szCs w:val="24"/>
          <w:highlight w:val="none"/>
          <w:lang w:val="en-US"/>
        </w:rPr>
        <w:t>0万元，其中：政府采购货物支出</w:t>
      </w:r>
      <w:r>
        <w:rPr>
          <w:rFonts w:hint="eastAsia" w:ascii="仿宋_GB2312" w:hAnsi="仿宋_GB2312" w:eastAsia="仿宋_GB2312"/>
          <w:sz w:val="32"/>
          <w:szCs w:val="24"/>
          <w:highlight w:val="none"/>
          <w:lang w:val="en-US" w:eastAsia="zh-CN"/>
        </w:rPr>
        <w:t>0.0</w:t>
      </w:r>
      <w:r>
        <w:rPr>
          <w:rFonts w:hint="eastAsia" w:ascii="仿宋_GB2312" w:hAnsi="仿宋_GB2312" w:eastAsia="仿宋_GB2312"/>
          <w:sz w:val="32"/>
          <w:szCs w:val="24"/>
          <w:highlight w:val="none"/>
          <w:lang w:val="en-US"/>
        </w:rPr>
        <w:t>0万元、政府采购工程支出</w:t>
      </w:r>
      <w:r>
        <w:rPr>
          <w:rFonts w:hint="eastAsia" w:ascii="仿宋_GB2312" w:hAnsi="仿宋_GB2312" w:eastAsia="仿宋_GB2312"/>
          <w:sz w:val="32"/>
          <w:szCs w:val="24"/>
          <w:highlight w:val="none"/>
          <w:lang w:val="en-US" w:eastAsia="zh-CN"/>
        </w:rPr>
        <w:t>0.0</w:t>
      </w:r>
      <w:r>
        <w:rPr>
          <w:rFonts w:hint="eastAsia" w:ascii="仿宋_GB2312" w:hAnsi="仿宋_GB2312" w:eastAsia="仿宋_GB2312"/>
          <w:sz w:val="32"/>
          <w:szCs w:val="24"/>
          <w:highlight w:val="none"/>
          <w:lang w:val="en-US"/>
        </w:rPr>
        <w:t>0万元、政府采购服务支出</w:t>
      </w:r>
      <w:r>
        <w:rPr>
          <w:rFonts w:hint="eastAsia" w:ascii="仿宋_GB2312" w:hAnsi="仿宋_GB2312" w:eastAsia="仿宋_GB2312"/>
          <w:sz w:val="32"/>
          <w:szCs w:val="24"/>
          <w:highlight w:val="none"/>
          <w:lang w:val="en-US" w:eastAsia="zh-CN"/>
        </w:rPr>
        <w:t>0.0</w:t>
      </w:r>
      <w:r>
        <w:rPr>
          <w:rFonts w:hint="eastAsia" w:ascii="仿宋_GB2312" w:hAnsi="仿宋_GB2312" w:eastAsia="仿宋_GB2312"/>
          <w:sz w:val="32"/>
          <w:szCs w:val="24"/>
          <w:highlight w:val="none"/>
          <w:lang w:val="en-US"/>
        </w:rPr>
        <w:t>0万元。授予中小企业合同金额</w:t>
      </w:r>
      <w:r>
        <w:rPr>
          <w:rFonts w:hint="eastAsia" w:ascii="仿宋_GB2312" w:hAnsi="仿宋_GB2312" w:eastAsia="仿宋_GB2312"/>
          <w:sz w:val="32"/>
          <w:szCs w:val="24"/>
          <w:highlight w:val="none"/>
          <w:lang w:val="en-US" w:eastAsia="zh-CN"/>
        </w:rPr>
        <w:t>0.0</w:t>
      </w:r>
      <w:r>
        <w:rPr>
          <w:rFonts w:hint="eastAsia" w:ascii="仿宋_GB2312" w:hAnsi="仿宋_GB2312" w:eastAsia="仿宋_GB2312"/>
          <w:sz w:val="32"/>
          <w:szCs w:val="24"/>
          <w:highlight w:val="none"/>
          <w:lang w:val="en-US"/>
        </w:rPr>
        <w:t>0万元，占政府采购支出总额的</w:t>
      </w:r>
      <w:r>
        <w:rPr>
          <w:rFonts w:hint="eastAsia" w:ascii="仿宋_GB2312" w:hAnsi="仿宋_GB2312" w:eastAsia="仿宋_GB2312"/>
          <w:sz w:val="32"/>
          <w:szCs w:val="24"/>
          <w:highlight w:val="none"/>
          <w:lang w:val="en-US" w:eastAsia="zh-CN"/>
        </w:rPr>
        <w:t>0.0</w:t>
      </w:r>
      <w:r>
        <w:rPr>
          <w:rFonts w:hint="eastAsia" w:ascii="仿宋_GB2312" w:hAnsi="仿宋_GB2312" w:eastAsia="仿宋_GB2312"/>
          <w:sz w:val="32"/>
          <w:szCs w:val="24"/>
          <w:highlight w:val="none"/>
          <w:lang w:val="en-US"/>
        </w:rPr>
        <w:t>0%,其中：授予小微企业合同金额</w:t>
      </w:r>
      <w:r>
        <w:rPr>
          <w:rFonts w:hint="eastAsia" w:ascii="仿宋_GB2312" w:hAnsi="仿宋_GB2312" w:eastAsia="仿宋_GB2312"/>
          <w:sz w:val="32"/>
          <w:szCs w:val="24"/>
          <w:highlight w:val="none"/>
          <w:lang w:val="en-US" w:eastAsia="zh-CN"/>
        </w:rPr>
        <w:t>0.0</w:t>
      </w:r>
      <w:r>
        <w:rPr>
          <w:rFonts w:hint="eastAsia" w:ascii="仿宋_GB2312" w:hAnsi="仿宋_GB2312" w:eastAsia="仿宋_GB2312"/>
          <w:sz w:val="32"/>
          <w:szCs w:val="24"/>
          <w:highlight w:val="none"/>
          <w:lang w:val="en-US"/>
        </w:rPr>
        <w:t>0万元，占政府采购支出总额的</w:t>
      </w:r>
      <w:r>
        <w:rPr>
          <w:rFonts w:hint="eastAsia" w:ascii="仿宋_GB2312" w:hAnsi="仿宋_GB2312" w:eastAsia="仿宋_GB2312"/>
          <w:sz w:val="32"/>
          <w:szCs w:val="24"/>
          <w:highlight w:val="none"/>
          <w:lang w:val="en-US" w:eastAsia="zh-CN"/>
        </w:rPr>
        <w:t>0.0</w:t>
      </w:r>
      <w:r>
        <w:rPr>
          <w:rFonts w:hint="eastAsia" w:ascii="仿宋_GB2312" w:hAnsi="仿宋_GB2312" w:eastAsia="仿宋_GB2312"/>
          <w:sz w:val="32"/>
          <w:szCs w:val="24"/>
          <w:highlight w:val="none"/>
          <w:lang w:val="en-US"/>
        </w:rPr>
        <w:t>0%。</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十一、国有资产占用情况说明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辆；单位价值50</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台（套），单位价值100</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spacing w:beforeLines="0" w:afterLines="0" w:line="590" w:lineRule="exact"/>
        <w:ind w:firstLine="640"/>
        <w:rPr>
          <w:rFonts w:hint="default" w:ascii="Times New Roman" w:hAnsi="Times New Roman" w:eastAsia="Times New Roman"/>
          <w:sz w:val="32"/>
          <w:szCs w:val="24"/>
          <w:highlight w:val="none"/>
          <w:lang w:val="en-US"/>
        </w:rPr>
      </w:pPr>
      <w:r>
        <w:rPr>
          <w:rFonts w:hint="eastAsia" w:ascii="黑体" w:hAnsi="黑体" w:eastAsia="黑体"/>
          <w:sz w:val="32"/>
          <w:szCs w:val="24"/>
          <w:highlight w:val="none"/>
          <w:lang w:val="en-US"/>
        </w:rPr>
        <w:t>十二、预算绩效情况说明</w:t>
      </w:r>
    </w:p>
    <w:p>
      <w:pPr>
        <w:spacing w:beforeLines="0" w:afterLines="0" w:line="590" w:lineRule="exact"/>
        <w:ind w:firstLine="640"/>
        <w:rPr>
          <w:rFonts w:hint="default" w:ascii="Times New Roman" w:hAnsi="Times New Roman" w:eastAsia="Times New Roman"/>
          <w:b/>
          <w:sz w:val="32"/>
          <w:szCs w:val="24"/>
          <w:highlight w:val="none"/>
          <w:lang w:val="en-US"/>
        </w:rPr>
      </w:pPr>
      <w:r>
        <w:rPr>
          <w:rFonts w:hint="eastAsia" w:ascii="楷体_GB2312" w:hAnsi="楷体_GB2312" w:eastAsia="楷体_GB2312"/>
          <w:b/>
          <w:sz w:val="32"/>
          <w:szCs w:val="24"/>
          <w:highlight w:val="none"/>
          <w:lang w:val="en-US"/>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Times New Roman"/>
          <w:sz w:val="32"/>
          <w:szCs w:val="24"/>
          <w:highlight w:val="none"/>
          <w:lang w:val="en-US"/>
        </w:rPr>
      </w:pPr>
      <w:r>
        <w:rPr>
          <w:rFonts w:hint="eastAsia" w:ascii="仿宋_GB2312" w:hAnsi="仿宋_GB2312" w:eastAsia="仿宋_GB2312" w:cs="仿宋_GB2312"/>
          <w:color w:val="auto"/>
          <w:sz w:val="32"/>
          <w:szCs w:val="32"/>
          <w:highlight w:val="none"/>
          <w:lang w:val="en-US" w:eastAsia="zh-CN"/>
        </w:rPr>
        <w:t>我单位按照《许昌市建安区财政局关于开展2021年度区级预算项目绩效自评工作的通知》（建安财效〔2022〕2号）文件要求，对本单位整体支出和项目支出开展全过程预算绩效管理。2021年我单位纳入预算绩效管理的支出总额为81434.81万元，其中：基本支出410.86万元；支出项目35个，支出金额81023.94万元。开展项目绩效自评项目35个，自评金额81023.94万元；纳入重点绩效评价0个，评价金额0.00万元。</w:t>
      </w:r>
    </w:p>
    <w:p>
      <w:pPr>
        <w:spacing w:beforeLines="0" w:afterLines="0" w:line="590" w:lineRule="exact"/>
        <w:ind w:firstLine="640"/>
        <w:rPr>
          <w:rFonts w:hint="default" w:ascii="Times New Roman" w:hAnsi="Times New Roman" w:eastAsia="Times New Roman"/>
          <w:sz w:val="21"/>
          <w:szCs w:val="24"/>
          <w:highlight w:val="none"/>
          <w:lang w:val="en-US"/>
        </w:rPr>
      </w:pPr>
      <w:r>
        <w:rPr>
          <w:rFonts w:hint="eastAsia" w:ascii="楷体_GB2312" w:hAnsi="楷体_GB2312" w:eastAsia="楷体_GB2312"/>
          <w:b/>
          <w:sz w:val="32"/>
          <w:szCs w:val="24"/>
          <w:highlight w:val="none"/>
          <w:lang w:val="en-US"/>
        </w:rPr>
        <w:t>（二）项目绩效自评结果。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按照《许昌市财政局关于开展2021年度市级预算绩效自评工作的通知》（许财效）〔2021〕1号）等文件精神，我单位对本单位整体绩效目标和项目支出绩效目标进行了自评。一是单位整体绩效自评情况：</w:t>
      </w:r>
      <w:r>
        <w:rPr>
          <w:rFonts w:hint="eastAsia" w:ascii="仿宋_GB2312" w:hAnsi="仿宋_GB2312" w:eastAsia="仿宋_GB2312" w:cs="仿宋_GB2312"/>
          <w:sz w:val="32"/>
          <w:szCs w:val="32"/>
          <w:highlight w:val="none"/>
        </w:rPr>
        <w:t>自20</w:t>
      </w:r>
      <w:r>
        <w:rPr>
          <w:rFonts w:hint="eastAsia" w:ascii="仿宋_GB2312" w:hAnsi="仿宋_GB2312" w:eastAsia="仿宋_GB2312" w:cs="仿宋_GB2312"/>
          <w:sz w:val="32"/>
          <w:szCs w:val="32"/>
          <w:highlight w:val="none"/>
          <w:lang w:val="en-US" w:eastAsia="zh-CN"/>
        </w:rPr>
        <w:t>21</w:t>
      </w:r>
      <w:r>
        <w:rPr>
          <w:rFonts w:hint="eastAsia" w:ascii="仿宋_GB2312" w:hAnsi="仿宋_GB2312" w:eastAsia="仿宋_GB2312" w:cs="仿宋_GB2312"/>
          <w:sz w:val="32"/>
          <w:szCs w:val="32"/>
          <w:highlight w:val="none"/>
        </w:rPr>
        <w:t>年全面开展绩效工作，对管理人员，主要是根据层层分解的关键业绩指标完成情况进行考核；同时，在</w:t>
      </w:r>
      <w:r>
        <w:rPr>
          <w:rFonts w:hint="eastAsia" w:ascii="仿宋_GB2312" w:hAnsi="仿宋_GB2312" w:eastAsia="仿宋_GB2312" w:cs="仿宋_GB2312"/>
          <w:sz w:val="32"/>
          <w:szCs w:val="32"/>
          <w:highlight w:val="none"/>
          <w:lang w:eastAsia="zh-CN"/>
        </w:rPr>
        <w:t>局</w:t>
      </w:r>
      <w:r>
        <w:rPr>
          <w:rFonts w:hint="eastAsia" w:ascii="仿宋_GB2312" w:hAnsi="仿宋_GB2312" w:eastAsia="仿宋_GB2312" w:cs="仿宋_GB2312"/>
          <w:sz w:val="32"/>
          <w:szCs w:val="32"/>
          <w:highlight w:val="none"/>
        </w:rPr>
        <w:t>里倡导采用“考勤制”考核办法，办公室出台了“工作突出制”实施指导意见，帮助</w:t>
      </w:r>
      <w:r>
        <w:rPr>
          <w:rFonts w:hint="eastAsia" w:ascii="仿宋_GB2312" w:hAnsi="仿宋_GB2312" w:eastAsia="仿宋_GB2312" w:cs="仿宋_GB2312"/>
          <w:sz w:val="32"/>
          <w:szCs w:val="32"/>
          <w:highlight w:val="none"/>
          <w:lang w:eastAsia="zh-CN"/>
        </w:rPr>
        <w:t>处</w:t>
      </w:r>
      <w:r>
        <w:rPr>
          <w:rFonts w:hint="eastAsia" w:ascii="仿宋_GB2312" w:hAnsi="仿宋_GB2312" w:eastAsia="仿宋_GB2312" w:cs="仿宋_GB2312"/>
          <w:sz w:val="32"/>
          <w:szCs w:val="32"/>
          <w:highlight w:val="none"/>
        </w:rPr>
        <w:t>里建立各自的考核办法。经过</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年的实施，绩效管理在管理人员中起到了一定的积极作用，各级管理人员真正认识到自己的岗位职责，能够认真履职，管理水平得到极大地提高。在任务繁重、人员紧张的情况下，我们看到，由于长期疲劳工作，干活多的人和干活少的人有了比较，岗位高的人与岗位低的人都在努力干好自己的工作，遵守</w:t>
      </w:r>
      <w:r>
        <w:rPr>
          <w:rFonts w:hint="eastAsia" w:ascii="仿宋_GB2312" w:hAnsi="仿宋_GB2312" w:eastAsia="仿宋_GB2312" w:cs="仿宋_GB2312"/>
          <w:sz w:val="32"/>
          <w:szCs w:val="32"/>
          <w:highlight w:val="none"/>
          <w:lang w:eastAsia="zh-CN"/>
        </w:rPr>
        <w:t>局</w:t>
      </w:r>
      <w:r>
        <w:rPr>
          <w:rFonts w:hint="eastAsia" w:ascii="仿宋_GB2312" w:hAnsi="仿宋_GB2312" w:eastAsia="仿宋_GB2312" w:cs="仿宋_GB2312"/>
          <w:sz w:val="32"/>
          <w:szCs w:val="32"/>
          <w:highlight w:val="none"/>
        </w:rPr>
        <w:t>里的纪律，</w:t>
      </w:r>
      <w:r>
        <w:rPr>
          <w:rFonts w:hint="eastAsia" w:ascii="仿宋_GB2312" w:hAnsi="仿宋_GB2312" w:eastAsia="仿宋_GB2312" w:cs="仿宋_GB2312"/>
          <w:sz w:val="32"/>
          <w:szCs w:val="32"/>
          <w:highlight w:val="none"/>
          <w:lang w:eastAsia="zh-CN"/>
        </w:rPr>
        <w:t>局</w:t>
      </w:r>
      <w:r>
        <w:rPr>
          <w:rFonts w:hint="eastAsia" w:ascii="仿宋_GB2312" w:hAnsi="仿宋_GB2312" w:eastAsia="仿宋_GB2312" w:cs="仿宋_GB2312"/>
          <w:sz w:val="32"/>
          <w:szCs w:val="32"/>
          <w:highlight w:val="none"/>
        </w:rPr>
        <w:t>里的凝聚力和战斗力提高，工作效率提高，以上现象，说明我们的</w:t>
      </w:r>
      <w:r>
        <w:rPr>
          <w:rFonts w:hint="eastAsia" w:ascii="仿宋_GB2312" w:hAnsi="仿宋_GB2312" w:eastAsia="仿宋_GB2312" w:cs="仿宋_GB2312"/>
          <w:sz w:val="32"/>
          <w:szCs w:val="32"/>
          <w:highlight w:val="none"/>
          <w:lang w:eastAsia="zh-CN"/>
        </w:rPr>
        <w:t>整体</w:t>
      </w:r>
      <w:r>
        <w:rPr>
          <w:rFonts w:hint="eastAsia" w:ascii="仿宋_GB2312" w:hAnsi="仿宋_GB2312" w:eastAsia="仿宋_GB2312" w:cs="仿宋_GB2312"/>
          <w:sz w:val="32"/>
          <w:szCs w:val="32"/>
          <w:highlight w:val="none"/>
        </w:rPr>
        <w:t>绩效管理工作取得了一定的成效</w:t>
      </w:r>
      <w:r>
        <w:rPr>
          <w:rFonts w:hint="eastAsia" w:ascii="仿宋_GB2312" w:hAnsi="仿宋_GB2312" w:eastAsia="仿宋_GB2312" w:cs="仿宋_GB2312"/>
          <w:color w:val="auto"/>
          <w:sz w:val="32"/>
          <w:szCs w:val="32"/>
          <w:highlight w:val="none"/>
          <w:lang w:val="en-US" w:eastAsia="zh-CN"/>
        </w:rPr>
        <w:t>。二是项目绩效自评情况。我单位共有35个项目批复了绩效目标。</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其中：</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auto"/>
          <w:sz w:val="32"/>
          <w:szCs w:val="32"/>
          <w:highlight w:val="none"/>
          <w:lang w:val="en-US" w:eastAsia="zh-CN"/>
        </w:rPr>
        <w:t>许昌市建安区住房和城乡建设局（本级）35个</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bookmarkStart w:id="0" w:name="_GoBack"/>
      <w:bookmarkEnd w:id="0"/>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98.00分。其中：20个项目评价等级为“优”、10个项目评价等级为“良”、5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pStyle w:val="2"/>
        <w:ind w:left="0" w:leftChars="0" w:firstLine="640" w:firstLineChars="200"/>
        <w:jc w:val="both"/>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我单位选取0个项目开展了部门重点评价。</w:t>
      </w:r>
      <w:r>
        <w:rPr>
          <w:rFonts w:hint="eastAsia" w:ascii="仿宋_GB2312" w:hAnsi="仿宋_GB2312" w:eastAsia="仿宋_GB2312" w:cs="仿宋_GB2312"/>
          <w:color w:val="000000"/>
          <w:sz w:val="32"/>
          <w:szCs w:val="32"/>
          <w:highlight w:val="none"/>
          <w:lang w:val="en-US" w:eastAsia="zh-CN"/>
        </w:rPr>
        <w:t>2021年，</w:t>
      </w:r>
      <w:r>
        <w:rPr>
          <w:rFonts w:hint="eastAsia" w:ascii="仿宋_GB2312" w:hAnsi="仿宋_GB2312" w:eastAsia="仿宋_GB2312" w:cs="仿宋_GB2312"/>
          <w:color w:val="auto"/>
          <w:sz w:val="32"/>
          <w:szCs w:val="32"/>
          <w:highlight w:val="none"/>
          <w:lang w:val="en-US" w:eastAsia="zh-CN"/>
        </w:rPr>
        <w:t>许昌市建安区财政局选取我单位</w:t>
      </w:r>
      <w:r>
        <w:rPr>
          <w:rFonts w:hint="eastAsia" w:ascii="仿宋_GB2312" w:hAnsi="仿宋_GB2312" w:eastAsia="仿宋_GB2312" w:cs="仿宋_GB2312"/>
          <w:color w:val="000000"/>
          <w:sz w:val="32"/>
          <w:szCs w:val="32"/>
          <w:highlight w:val="none"/>
          <w:lang w:val="en-US" w:eastAsia="zh-CN"/>
        </w:rPr>
        <w:t>：中央财政城镇保障性安居工程补助资金项目开展财政重点评价。其中：</w:t>
      </w:r>
    </w:p>
    <w:p>
      <w:pPr>
        <w:pStyle w:val="2"/>
        <w:ind w:left="0" w:leftChars="0" w:firstLine="640" w:firstLineChars="200"/>
        <w:jc w:val="both"/>
        <w:rPr>
          <w:highlight w:val="none"/>
        </w:rPr>
      </w:pPr>
      <w:r>
        <w:rPr>
          <w:rFonts w:hint="eastAsia" w:ascii="仿宋_GB2312" w:hAnsi="仿宋_GB2312" w:eastAsia="仿宋_GB2312" w:cs="仿宋_GB2312"/>
          <w:color w:val="000000"/>
          <w:sz w:val="32"/>
          <w:szCs w:val="32"/>
          <w:highlight w:val="none"/>
          <w:lang w:val="en-US" w:eastAsia="zh-CN"/>
        </w:rPr>
        <w:t>中央财政城镇保障性安居工程补助资金项目评价得分：   88.50分，等次为“良”。</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我单位将对照重点绩效评价发现问题进行整改，不断提高我单位项目和预算管理水平，提升财政资金使用效益。</w:t>
      </w:r>
    </w:p>
    <w:p>
      <w:pPr>
        <w:pStyle w:val="2"/>
        <w:rPr>
          <w:rFonts w:hint="eastAsia"/>
          <w:highlight w:val="none"/>
          <w:lang w:val="en-US" w:eastAsia="zh-CN"/>
        </w:rPr>
      </w:pPr>
    </w:p>
    <w:p>
      <w:pPr>
        <w:pStyle w:val="2"/>
        <w:rPr>
          <w:rFonts w:hint="eastAsia"/>
          <w:highlight w:val="none"/>
          <w:lang w:val="en-US" w:eastAsia="zh-CN"/>
        </w:rPr>
        <w:sectPr>
          <w:pgSz w:w="11906" w:h="16838"/>
          <w:pgMar w:top="1440" w:right="1800" w:bottom="1440" w:left="1800" w:header="720" w:footer="720" w:gutter="0"/>
          <w:pgNumType w:fmt="numberInDash"/>
          <w:cols w:space="720" w:num="1"/>
          <w:docGrid w:type="lines" w:linePitch="312" w:charSpace="0"/>
        </w:sectPr>
      </w:pP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pStyle w:val="2"/>
        <w:rPr>
          <w:rFonts w:hint="eastAsia" w:ascii="黑体" w:hAnsi="宋体" w:eastAsia="黑体" w:cs="宋体"/>
          <w:color w:val="auto"/>
          <w:kern w:val="0"/>
          <w:sz w:val="28"/>
          <w:szCs w:val="28"/>
          <w:highlight w:val="none"/>
          <w:lang w:val="en-US" w:eastAsia="zh-CN"/>
        </w:rPr>
      </w:pPr>
    </w:p>
    <w:p>
      <w:pPr>
        <w:pStyle w:val="2"/>
        <w:rPr>
          <w:rFonts w:hint="eastAsia" w:ascii="黑体" w:hAnsi="宋体" w:eastAsia="黑体" w:cs="宋体"/>
          <w:color w:val="auto"/>
          <w:kern w:val="0"/>
          <w:sz w:val="28"/>
          <w:szCs w:val="28"/>
          <w:highlight w:val="none"/>
          <w:lang w:val="en-US" w:eastAsia="zh-CN"/>
        </w:rPr>
      </w:pPr>
    </w:p>
    <w:p>
      <w:pPr>
        <w:ind w:firstLine="2400" w:firstLineChars="500"/>
        <w:jc w:val="both"/>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w:t>
      </w:r>
      <w:r>
        <w:rPr>
          <w:rFonts w:hint="eastAsia" w:ascii="黑体" w:hAnsi="黑体" w:eastAsia="黑体" w:cs="黑体"/>
          <w:color w:val="auto"/>
          <w:sz w:val="48"/>
          <w:szCs w:val="48"/>
          <w:highlight w:val="none"/>
          <w:lang w:eastAsia="zh-CN"/>
        </w:rPr>
        <w:t>四</w:t>
      </w:r>
      <w:r>
        <w:rPr>
          <w:rFonts w:hint="eastAsia" w:ascii="黑体" w:hAnsi="黑体" w:eastAsia="黑体" w:cs="黑体"/>
          <w:color w:val="auto"/>
          <w:sz w:val="48"/>
          <w:szCs w:val="48"/>
          <w:highlight w:val="none"/>
        </w:rPr>
        <w:t>部分</w:t>
      </w:r>
      <w:r>
        <w:rPr>
          <w:rFonts w:hint="eastAsia" w:ascii="黑体" w:hAnsi="黑体" w:eastAsia="黑体" w:cs="黑体"/>
          <w:color w:val="auto"/>
          <w:sz w:val="48"/>
          <w:szCs w:val="48"/>
          <w:highlight w:val="none"/>
          <w:lang w:val="en-US" w:eastAsia="zh-CN"/>
        </w:rPr>
        <w:t xml:space="preserve">  </w:t>
      </w:r>
      <w:r>
        <w:rPr>
          <w:rFonts w:hint="eastAsia" w:ascii="黑体" w:hAnsi="黑体" w:eastAsia="黑体" w:cs="黑体"/>
          <w:color w:val="auto"/>
          <w:sz w:val="48"/>
          <w:szCs w:val="48"/>
          <w:highlight w:val="none"/>
        </w:rPr>
        <w:t>名词解释</w:t>
      </w:r>
    </w:p>
    <w:p>
      <w:pPr>
        <w:jc w:val="center"/>
        <w:outlineLvl w:val="9"/>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sectPr>
          <w:pgSz w:w="11906" w:h="16838"/>
          <w:pgMar w:top="1440" w:right="1531" w:bottom="1440" w:left="1587" w:header="850" w:footer="992" w:gutter="0"/>
          <w:pgNumType w:fmt="numberInDash"/>
          <w:cols w:space="720" w:num="1"/>
          <w:rtlGutter w:val="0"/>
          <w:docGrid w:type="lines" w:linePitch="317" w:charSpace="0"/>
        </w:sectPr>
      </w:pP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一、财政拨款收入：</w:t>
      </w:r>
      <w:r>
        <w:rPr>
          <w:rFonts w:hint="eastAsia" w:ascii="仿宋_GB2312" w:hAnsi="仿宋_GB2312" w:eastAsia="仿宋_GB2312" w:cs="仿宋_GB2312"/>
          <w:color w:val="auto"/>
          <w:sz w:val="32"/>
          <w:szCs w:val="32"/>
          <w:highlight w:val="none"/>
          <w:lang w:val="en-US" w:eastAsia="zh-CN"/>
        </w:rPr>
        <w:t>单位从同级政府财政部门取得的财政预算资金。</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二、基本支出：为保障机构正常运转、完成日常工作任务而发生的人员支出和公用支出。</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四、工资福利支出：单位支付给在职职工和编制外长期聘用人员的各类劳动报酬，以及为上述人员缴纳的各项社会保险费等。</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五、商品和服务支出：单位购买商品和服务的支出。</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六、对个人和家庭的补助支出：单位用于对个人和家庭的补助支出。</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七、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八、年末结转：本年度或以前年度预算安排，已执行但尚未完成或因客观条件发生变化无法按原计划实施，需延迟到以后年度按有关规定继续使用的资金。</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九、年末结余：本年度或以前年度预算安排，已执行完毕或因客观条件发生变化无法按原预算安排实施，不需要再使用或无法按原预算安排继续使用的资金。</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p>
    <w:p>
      <w:pPr>
        <w:widowControl/>
        <w:spacing w:line="590" w:lineRule="exact"/>
        <w:ind w:firstLine="640" w:firstLineChars="200"/>
        <w:jc w:val="left"/>
        <w:rPr>
          <w:rFonts w:hint="eastAsia" w:ascii="仿宋_GB2312" w:hAnsi="仿宋_GB2312" w:eastAsia="仿宋_GB2312" w:cs="仿宋_GB2312"/>
          <w:sz w:val="32"/>
          <w:szCs w:val="32"/>
          <w:highlight w:val="none"/>
        </w:rPr>
      </w:pP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0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- 3 -</w:t>
                          </w:r>
                          <w:r>
                            <w:rPr>
                              <w:rFonts w:hint="eastAsia"/>
                              <w:sz w:val="18"/>
                              <w:lang w:eastAsia="zh-CN"/>
                            </w:rPr>
                            <w:fldChar w:fldCharType="end"/>
                          </w:r>
                        </w:p>
                      </w:txbxContent>
                    </wps:txbx>
                    <wps:bodyPr vert="horz" wrap="none" lIns="0" tIns="0" rIns="0" bIns="0" anchor="t" anchorCtr="0" upright="0">
                      <a:spAutoFit/>
                    </wps:bodyPr>
                  </wps:wsp>
                </a:graphicData>
              </a:graphic>
            </wp:anchor>
          </w:drawing>
        </mc:Choice>
        <mc:Fallback>
          <w:pict>
            <v:shape id="文本框 205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Nxd+CHgAQAAwQMAAA4AAAAA&#10;AAAAAQAgAAAAHgEAAGRycy9lMm9Eb2MueG1sUEsFBgAAAAAGAAYAWQEAAHA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- 3 -</w:t>
                    </w:r>
                    <w:r>
                      <w:rPr>
                        <w:rFonts w:hint="eastAsia"/>
                        <w:sz w:val="18"/>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lang w:eastAsia="zh-CN"/>
                            </w:rPr>
                          </w:pPr>
                        </w:p>
                      </w:txbxContent>
                    </wps:txbx>
                    <wps:bodyPr vert="horz" wrap="none" lIns="0" tIns="0" rIns="0" bIns="0" anchor="t" anchorCtr="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EOVRwbgAQAAwQMAAA4AAAAA&#10;AAAAAQAgAAAAHgEAAGRycy9lMm9Eb2MueG1sUEsFBgAAAAAGAAYAWQEAAHAFAAAAAA==&#10;">
              <v:fill on="f" focussize="0,0"/>
              <v:stroke on="f"/>
              <v:imagedata o:title=""/>
              <o:lock v:ext="edit" aspectratio="f"/>
              <v:textbox inset="0mm,0mm,0mm,0mm" style="mso-fit-shape-to-text:t;">
                <w:txbxContent>
                  <w:p>
                    <w:pPr>
                      <w:rPr>
                        <w:rFonts w:hint="eastAsia"/>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0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- 2 -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205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NeFG7LAQAAnAMAAA4AAAAAAAAAAQAgAAAAHgEAAGRycy9lMm9E&#10;b2MueG1sUEsFBgAAAAAGAAYAWQEAAFs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- 2 -</w:t>
                    </w:r>
                    <w:r>
                      <w:rPr>
                        <w:rFonts w:hint="eastAsia"/>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76B996"/>
    <w:multiLevelType w:val="singleLevel"/>
    <w:tmpl w:val="FB76B996"/>
    <w:lvl w:ilvl="0" w:tentative="0">
      <w:start w:val="3"/>
      <w:numFmt w:val="decimal"/>
      <w:lvlText w:val="%1."/>
      <w:lvlJc w:val="left"/>
      <w:pPr>
        <w:tabs>
          <w:tab w:val="left" w:pos="312"/>
        </w:tabs>
      </w:pPr>
    </w:lvl>
  </w:abstractNum>
  <w:abstractNum w:abstractNumId="1">
    <w:nsid w:val="00000006"/>
    <w:multiLevelType w:val="singleLevel"/>
    <w:tmpl w:val="00000006"/>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2NTJmZmNiYTdkYTgyYzg0YWIyMGM2MzA4ZWY1NTUifQ=="/>
  </w:docVars>
  <w:rsids>
    <w:rsidRoot w:val="00172A27"/>
    <w:rsid w:val="03362463"/>
    <w:rsid w:val="06E54240"/>
    <w:rsid w:val="08626C5A"/>
    <w:rsid w:val="09C12789"/>
    <w:rsid w:val="09CB5F78"/>
    <w:rsid w:val="0D864936"/>
    <w:rsid w:val="0D9A6AB2"/>
    <w:rsid w:val="0DBA593F"/>
    <w:rsid w:val="0E0B4B31"/>
    <w:rsid w:val="0E0D1416"/>
    <w:rsid w:val="0EEC7023"/>
    <w:rsid w:val="11D727CF"/>
    <w:rsid w:val="1707659A"/>
    <w:rsid w:val="174F3FD9"/>
    <w:rsid w:val="18CD4542"/>
    <w:rsid w:val="1A846F04"/>
    <w:rsid w:val="1ADD381B"/>
    <w:rsid w:val="1B75286D"/>
    <w:rsid w:val="1E5E7CA8"/>
    <w:rsid w:val="24A51F50"/>
    <w:rsid w:val="25341526"/>
    <w:rsid w:val="28032850"/>
    <w:rsid w:val="29231FDE"/>
    <w:rsid w:val="2BE9306B"/>
    <w:rsid w:val="2C7219A3"/>
    <w:rsid w:val="2D7B23E8"/>
    <w:rsid w:val="2E09381B"/>
    <w:rsid w:val="2FD24565"/>
    <w:rsid w:val="3081316C"/>
    <w:rsid w:val="315A1CE3"/>
    <w:rsid w:val="322F032F"/>
    <w:rsid w:val="33C86159"/>
    <w:rsid w:val="35EF2360"/>
    <w:rsid w:val="365803C3"/>
    <w:rsid w:val="39047C2F"/>
    <w:rsid w:val="396808F7"/>
    <w:rsid w:val="3A5E69D2"/>
    <w:rsid w:val="3BD91252"/>
    <w:rsid w:val="3BEE1B2D"/>
    <w:rsid w:val="3CD00304"/>
    <w:rsid w:val="3EB6794E"/>
    <w:rsid w:val="3FE46365"/>
    <w:rsid w:val="415F6CEB"/>
    <w:rsid w:val="4195647D"/>
    <w:rsid w:val="41BB1BF5"/>
    <w:rsid w:val="47370CD6"/>
    <w:rsid w:val="47562CFC"/>
    <w:rsid w:val="4847319B"/>
    <w:rsid w:val="4C3103EA"/>
    <w:rsid w:val="50055B4C"/>
    <w:rsid w:val="52EB3E8C"/>
    <w:rsid w:val="5B237C9F"/>
    <w:rsid w:val="5D2107A8"/>
    <w:rsid w:val="5D6449E6"/>
    <w:rsid w:val="5F2144ED"/>
    <w:rsid w:val="60056143"/>
    <w:rsid w:val="61EF4E75"/>
    <w:rsid w:val="64BB664B"/>
    <w:rsid w:val="688424CB"/>
    <w:rsid w:val="69674FF3"/>
    <w:rsid w:val="697138CB"/>
    <w:rsid w:val="6A4D6F27"/>
    <w:rsid w:val="6B8A5F16"/>
    <w:rsid w:val="6BAE515B"/>
    <w:rsid w:val="72DF5BFA"/>
    <w:rsid w:val="773439AB"/>
    <w:rsid w:val="77797207"/>
    <w:rsid w:val="783E7867"/>
    <w:rsid w:val="79A311F0"/>
    <w:rsid w:val="7DE55306"/>
    <w:rsid w:val="7EE13523"/>
    <w:rsid w:val="7EF11A79"/>
    <w:rsid w:val="7FB421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qFormat/>
    <w:uiPriority w:val="0"/>
    <w:pPr>
      <w:keepNext/>
      <w:keepLines/>
      <w:spacing w:before="340" w:beforeLines="0" w:after="330" w:afterLines="0" w:line="576" w:lineRule="auto"/>
      <w:outlineLvl w:val="0"/>
    </w:pPr>
    <w:rPr>
      <w:b/>
      <w:bCs/>
      <w:kern w:val="44"/>
      <w:sz w:val="44"/>
      <w:szCs w:val="44"/>
    </w:rPr>
  </w:style>
  <w:style w:type="character" w:default="1" w:styleId="11">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99"/>
    <w:pPr>
      <w:ind w:firstLine="420" w:firstLineChars="100"/>
    </w:pPr>
  </w:style>
  <w:style w:type="paragraph" w:styleId="3">
    <w:name w:val="Body Text"/>
    <w:basedOn w:val="1"/>
    <w:qFormat/>
    <w:uiPriority w:val="99"/>
    <w:pPr>
      <w:jc w:val="center"/>
    </w:pPr>
    <w:rPr>
      <w:rFonts w:eastAsia="黑体"/>
      <w:sz w:val="36"/>
      <w:szCs w:val="20"/>
    </w:rPr>
  </w:style>
  <w:style w:type="paragraph" w:styleId="5">
    <w:name w:val="annotation text"/>
    <w:basedOn w:val="1"/>
    <w:qFormat/>
    <w:uiPriority w:val="0"/>
    <w:pPr>
      <w:jc w:val="left"/>
    </w:pPr>
  </w:style>
  <w:style w:type="paragraph" w:styleId="6">
    <w:name w:val="Balloon Text"/>
    <w:basedOn w:val="1"/>
    <w:link w:val="15"/>
    <w:qFormat/>
    <w:uiPriority w:val="0"/>
    <w:rPr>
      <w:kern w:val="2"/>
      <w:sz w:val="18"/>
      <w:szCs w:val="18"/>
    </w:rPr>
  </w:style>
  <w:style w:type="paragraph" w:styleId="7">
    <w:name w:val="footer"/>
    <w:basedOn w:val="1"/>
    <w:link w:val="16"/>
    <w:qFormat/>
    <w:uiPriority w:val="0"/>
    <w:pPr>
      <w:tabs>
        <w:tab w:val="center" w:pos="4153"/>
        <w:tab w:val="right" w:pos="8306"/>
      </w:tabs>
      <w:snapToGrid w:val="0"/>
      <w:jc w:val="left"/>
    </w:pPr>
    <w:rPr>
      <w:kern w:val="2"/>
      <w:sz w:val="18"/>
      <w:szCs w:val="18"/>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kern w:val="2"/>
      <w:sz w:val="18"/>
      <w:szCs w:val="18"/>
    </w:rPr>
  </w:style>
  <w:style w:type="paragraph" w:styleId="9">
    <w:name w:val="footnote text"/>
    <w:basedOn w:val="1"/>
    <w:qFormat/>
    <w:uiPriority w:val="0"/>
    <w:pPr>
      <w:snapToGrid w:val="0"/>
      <w:jc w:val="left"/>
    </w:pPr>
    <w:rPr>
      <w:sz w:val="18"/>
    </w:rPr>
  </w:style>
  <w:style w:type="character" w:styleId="12">
    <w:name w:val="FollowedHyperlink"/>
    <w:qFormat/>
    <w:uiPriority w:val="0"/>
    <w:rPr>
      <w:color w:val="800080"/>
      <w:u w:val="single"/>
    </w:rPr>
  </w:style>
  <w:style w:type="character" w:styleId="13">
    <w:name w:val="Hyperlink"/>
    <w:qFormat/>
    <w:uiPriority w:val="0"/>
    <w:rPr>
      <w:color w:val="0000FF"/>
      <w:u w:val="single"/>
    </w:rPr>
  </w:style>
  <w:style w:type="character" w:styleId="14">
    <w:name w:val="footnote reference"/>
    <w:basedOn w:val="11"/>
    <w:qFormat/>
    <w:uiPriority w:val="0"/>
    <w:rPr>
      <w:vertAlign w:val="superscript"/>
    </w:rPr>
  </w:style>
  <w:style w:type="character" w:customStyle="1" w:styleId="15">
    <w:name w:val="批注框文本 Char Char"/>
    <w:basedOn w:val="11"/>
    <w:link w:val="6"/>
    <w:qFormat/>
    <w:uiPriority w:val="0"/>
    <w:rPr>
      <w:kern w:val="2"/>
      <w:sz w:val="18"/>
      <w:szCs w:val="18"/>
    </w:rPr>
  </w:style>
  <w:style w:type="character" w:customStyle="1" w:styleId="16">
    <w:name w:val="页脚 Char Char"/>
    <w:link w:val="7"/>
    <w:qFormat/>
    <w:uiPriority w:val="0"/>
    <w:rPr>
      <w:kern w:val="2"/>
      <w:sz w:val="18"/>
      <w:szCs w:val="18"/>
    </w:rPr>
  </w:style>
  <w:style w:type="character" w:customStyle="1" w:styleId="17">
    <w:name w:val="页眉 Char Char"/>
    <w:link w:val="8"/>
    <w:qFormat/>
    <w:uiPriority w:val="0"/>
    <w:rPr>
      <w:kern w:val="2"/>
      <w:sz w:val="18"/>
      <w:szCs w:val="18"/>
    </w:rPr>
  </w:style>
  <w:style w:type="character" w:customStyle="1" w:styleId="18">
    <w:name w:val="font01"/>
    <w:basedOn w:val="11"/>
    <w:qFormat/>
    <w:uiPriority w:val="0"/>
    <w:rPr>
      <w:rFonts w:hint="eastAsia" w:ascii="宋体" w:hAnsi="宋体" w:eastAsia="宋体" w:cs="宋体"/>
      <w:color w:val="000000"/>
      <w:sz w:val="22"/>
      <w:szCs w:val="22"/>
      <w:u w:val="none"/>
    </w:rPr>
  </w:style>
  <w:style w:type="character" w:customStyle="1" w:styleId="19">
    <w:name w:val="font51"/>
    <w:basedOn w:val="11"/>
    <w:qFormat/>
    <w:uiPriority w:val="0"/>
    <w:rPr>
      <w:rFonts w:hint="eastAsia" w:ascii="宋体" w:hAnsi="宋体" w:eastAsia="宋体" w:cs="宋体"/>
      <w:color w:val="000000"/>
      <w:sz w:val="24"/>
      <w:szCs w:val="24"/>
      <w:u w:val="none"/>
    </w:rPr>
  </w:style>
  <w:style w:type="character" w:customStyle="1" w:styleId="20">
    <w:name w:val="font41"/>
    <w:basedOn w:val="11"/>
    <w:qFormat/>
    <w:uiPriority w:val="0"/>
    <w:rPr>
      <w:rFonts w:hint="eastAsia" w:ascii="宋体" w:hAnsi="宋体" w:eastAsia="宋体" w:cs="宋体"/>
      <w:color w:val="000000"/>
      <w:sz w:val="24"/>
      <w:szCs w:val="24"/>
      <w:u w:val="none"/>
    </w:rPr>
  </w:style>
  <w:style w:type="character" w:customStyle="1" w:styleId="21">
    <w:name w:val="font11"/>
    <w:basedOn w:val="11"/>
    <w:qFormat/>
    <w:uiPriority w:val="0"/>
    <w:rPr>
      <w:rFonts w:hint="eastAsia" w:ascii="宋体" w:hAnsi="宋体" w:eastAsia="宋体" w:cs="宋体"/>
      <w:color w:val="000000"/>
      <w:sz w:val="20"/>
      <w:szCs w:val="20"/>
      <w:u w:val="none"/>
    </w:rPr>
  </w:style>
  <w:style w:type="character" w:customStyle="1" w:styleId="22">
    <w:name w:val="font21"/>
    <w:basedOn w:val="11"/>
    <w:qFormat/>
    <w:uiPriority w:val="0"/>
    <w:rPr>
      <w:rFonts w:hint="eastAsia" w:ascii="宋体" w:hAnsi="宋体" w:eastAsia="宋体" w:cs="宋体"/>
      <w:color w:val="000000"/>
      <w:sz w:val="22"/>
      <w:szCs w:val="22"/>
      <w:u w:val="none"/>
    </w:rPr>
  </w:style>
  <w:style w:type="paragraph" w:customStyle="1" w:styleId="23">
    <w:name w:val="标题1"/>
    <w:basedOn w:val="4"/>
    <w:qFormat/>
    <w:uiPriority w:val="0"/>
    <w:pPr>
      <w:spacing w:before="0" w:beforeLines="0" w:after="0" w:afterLines="0" w:line="240" w:lineRule="auto"/>
      <w:jc w:val="center"/>
    </w:pPr>
    <w:rPr>
      <w:rFonts w:ascii="华文中宋" w:hAnsi="华文中宋" w:eastAsia="华文中宋"/>
      <w:sz w:val="36"/>
      <w:szCs w:val="3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33</Pages>
  <Words>8289</Words>
  <Characters>11458</Characters>
  <Lines>57</Lines>
  <Paragraphs>16</Paragraphs>
  <TotalTime>0</TotalTime>
  <ScaleCrop>false</ScaleCrop>
  <LinksUpToDate>false</LinksUpToDate>
  <CharactersWithSpaces>11702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2007-11-29T03:41:00Z</dcterms:created>
  <dc:creator>管理者</dc:creator>
  <cp:lastModifiedBy>Administrator</cp:lastModifiedBy>
  <cp:lastPrinted>2018-07-24T10:50:00Z</cp:lastPrinted>
  <dcterms:modified xsi:type="dcterms:W3CDTF">2022-09-15T05:08:43Z</dcterms:modified>
  <dc:title>2020年度</dc:title>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EACDE00F2ADE4B33839ED2F1303B259C</vt:lpwstr>
  </property>
</Properties>
</file>