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中共许昌市建安区委宣传部部门决算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中共许昌市建安区委宣传部概况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第一部分  中共许昌市建安区委宣传部概况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ind w:firstLine="640" w:firstLineChars="200"/>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一）贯彻落实党中央关于宣传思想文化、网络安全和信息化工作的方针政策和省委、市委、区委决策部署，拟订全区宣传思想文化事业发展规划，统筹协调推进宣传思想文化领域法治建设，按照区委统一部署，协调宣传思想文化系统各部门之间的工作。</w:t>
      </w:r>
    </w:p>
    <w:p>
      <w:pPr>
        <w:ind w:firstLine="640" w:firstLineChars="200"/>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（二）贯彻落实党中央、省委、市委、区委关于意识形态工作的决策部署，统筹协调全区党的意识形态工作，组织协调意识形态工作责任制落实和日常监督检查，结合巡视巡察工作开展专项检查。</w:t>
      </w:r>
    </w:p>
    <w:p>
      <w:pPr>
        <w:ind w:firstLine="640" w:firstLineChars="200"/>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（三）统筹指导协调全区的理论研究、理论学习和理论宣传工作，组织推动理论武装工作。</w:t>
      </w:r>
    </w:p>
    <w:p>
      <w:pPr>
        <w:ind w:firstLine="640" w:firstLineChars="200"/>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四）负责规划组织全区思想政治工作，组织全区重大先进典型的选树、宣传、学习，配合区委组织部做好党员教育工作，指导协调编写党员教育教材，会同有关部门研究和改进群众思想教育工作，负责组织开展宣传思想文化系统人才工作和干部教育培训。</w:t>
      </w:r>
    </w:p>
    <w:p>
      <w:pPr>
        <w:ind w:firstLine="640" w:firstLineChars="200"/>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（五）统筹分析研判和引导社会舆论，统筹指导协调监督管理全区新闻单位工作，组织全区突发公共事件应急新闻工作。</w:t>
      </w:r>
    </w:p>
    <w:p>
      <w:pPr>
        <w:ind w:firstLine="640" w:firstLineChars="200"/>
        <w:jc w:val="right"/>
        <w:rPr>
          <w:rFonts w:hint="eastAsia" w:ascii="仿宋_GB2312" w:hAnsi="仿宋_GB2312" w:eastAsia="仿宋_GB2312" w:cs="仿宋_GB2312"/>
          <w:kern w:val="0"/>
          <w:sz w:val="32"/>
          <w:szCs w:val="32"/>
          <w:highlight w:val="none"/>
          <w:lang w:eastAsia="zh-CN"/>
        </w:rPr>
      </w:pPr>
      <w:r>
        <w:rPr>
          <w:rFonts w:ascii="仿宋_GB2312" w:hAnsi="仿宋_GB2312" w:eastAsia="仿宋_GB2312" w:cs="仿宋_GB2312"/>
          <w:kern w:val="0"/>
          <w:sz w:val="32"/>
          <w:szCs w:val="32"/>
          <w:highlight w:val="none"/>
        </w:rPr>
        <w:t>（六）拟订全区新闻出版业的规范性文件并督促落实，管理新闻出版行政事务，组织协调有关行政审批工作。统筹规划和指导协调新闻出版事业、产业发展，监督管理出版物内容和质量，监督管理印刷业，管理著作权，管理出版物进出口等。负责全区新闻记者证的监督管理。组织指导协调</w:t>
      </w:r>
      <w:r>
        <w:rPr>
          <w:rFonts w:hint="eastAsia" w:ascii="仿宋_GB2312" w:hAnsi="仿宋_GB2312" w:eastAsia="仿宋_GB2312" w:cs="仿宋_GB2312"/>
          <w:kern w:val="0"/>
          <w:sz w:val="32"/>
          <w:szCs w:val="32"/>
          <w:highlight w:val="none"/>
          <w:lang w:eastAsia="zh-CN"/>
        </w:rPr>
        <w:t>。</w:t>
      </w:r>
    </w:p>
    <w:p>
      <w:pPr>
        <w:ind w:firstLine="640" w:firstLineChars="200"/>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（七）统筹指导协调互联网宣传和信息内容管理工作。统筹协调融媒体的建设与管理。</w:t>
      </w:r>
    </w:p>
    <w:p>
      <w:pPr>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 xml:space="preserve">    （八）统筹指导协调推动精神文化产品的创作和生产，协调组织优秀传统文化传承发展有关工作，指导协调推动群众文化建设。</w:t>
      </w:r>
    </w:p>
    <w:p>
      <w:pPr>
        <w:ind w:firstLine="636"/>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（九）负责管理电影行政事务，指导监管电影制片、发行、放映工作，组织对电影内容进行审查，指导协调重大电影活动。</w:t>
      </w:r>
    </w:p>
    <w:p>
      <w:pPr>
        <w:ind w:firstLine="636"/>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（十）对新闻出版、广播影视、文化艺术业改革发展研究提出相关建议，统筹指导协调文化体制改革和文化事业、文化产业及旅游业发展，指导协调国有文化企业监督管理工作。</w:t>
      </w:r>
    </w:p>
    <w:p>
      <w:pPr>
        <w:ind w:firstLine="636"/>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（十一）统筹指导舆情信息工作，组织协调开展全区舆情信息收集分析研判工作，跟踪了解、研究掌握宣传舆情动态。</w:t>
      </w:r>
    </w:p>
    <w:p>
      <w:pPr>
        <w:ind w:firstLine="636"/>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（十二）统筹协调全区对外宣传工作，指导协调有关部门研究拟订对外宣传工作相关措施和对外宣传事业发展规划。指导对外文化交流工作。会同有关部门做好境外媒体记者在全区采访的服务引导工作。</w:t>
      </w:r>
    </w:p>
    <w:p>
      <w:pPr>
        <w:ind w:firstLine="636"/>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（十三）统筹协调组织开展新闻发布工作，承担区委新闻发布有关组织协调工作，负责区政府新闻发布组织实施工作，指导协调区直各部门和各乡镇（街道）的新闻发布工作，推动新闻发言人制度建设。</w:t>
      </w:r>
    </w:p>
    <w:p>
      <w:pPr>
        <w:ind w:firstLine="636"/>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（十四）贯彻落实党中央关于加强社会主义精神文明建设的方针政策和省委、市委、区委有关部署，在</w:t>
      </w:r>
      <w:r>
        <w:rPr>
          <w:rFonts w:hint="eastAsia" w:ascii="仿宋_GB2312" w:hAnsi="仿宋_GB2312" w:eastAsia="仿宋_GB2312" w:cs="仿宋_GB2312"/>
          <w:kern w:val="0"/>
          <w:sz w:val="32"/>
          <w:szCs w:val="32"/>
          <w:highlight w:val="none"/>
        </w:rPr>
        <w:t>许昌市建安</w:t>
      </w:r>
      <w:r>
        <w:rPr>
          <w:rFonts w:ascii="仿宋_GB2312" w:hAnsi="仿宋_GB2312" w:eastAsia="仿宋_GB2312" w:cs="仿宋_GB2312"/>
          <w:kern w:val="0"/>
          <w:sz w:val="32"/>
          <w:szCs w:val="32"/>
          <w:highlight w:val="none"/>
        </w:rPr>
        <w:t>区精神文明建设指导委员会指导下统筹协调、指导推动全区精神文明建设工作，组织开展全区群众性精神文明创建活动，评选表彰精神文明建设先进典型，总结推广先进经验。</w:t>
      </w:r>
    </w:p>
    <w:p>
      <w:pPr>
        <w:ind w:firstLine="640" w:firstLineChars="200"/>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十五）研究拟订全区网络安全和信息化发展的有关规范性文件和规划；统筹推进网络安全和信息化领域国家标准的组织实施；依法履行全区网络安全和信息化行政管理职能。负责全区互联网信息内容管理，统筹协调组织互联网宣传管理和舆论引导工作，维护网络意识形态安全。</w:t>
      </w:r>
    </w:p>
    <w:p>
      <w:pPr>
        <w:ind w:firstLine="640" w:firstLineChars="200"/>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（十六）指导协调</w:t>
      </w:r>
      <w:r>
        <w:rPr>
          <w:rFonts w:hint="eastAsia" w:ascii="仿宋_GB2312" w:hAnsi="仿宋_GB2312" w:eastAsia="仿宋_GB2312" w:cs="仿宋_GB2312"/>
          <w:kern w:val="0"/>
          <w:sz w:val="32"/>
          <w:szCs w:val="32"/>
          <w:highlight w:val="none"/>
        </w:rPr>
        <w:t>许昌市建安</w:t>
      </w:r>
      <w:r>
        <w:rPr>
          <w:rFonts w:ascii="仿宋_GB2312" w:hAnsi="仿宋_GB2312" w:eastAsia="仿宋_GB2312" w:cs="仿宋_GB2312"/>
          <w:kern w:val="0"/>
          <w:sz w:val="32"/>
          <w:szCs w:val="32"/>
          <w:highlight w:val="none"/>
        </w:rPr>
        <w:t>区文联、</w:t>
      </w:r>
      <w:r>
        <w:rPr>
          <w:rFonts w:hint="eastAsia" w:ascii="仿宋_GB2312" w:hAnsi="仿宋_GB2312" w:eastAsia="仿宋_GB2312" w:cs="仿宋_GB2312"/>
          <w:kern w:val="0"/>
          <w:sz w:val="32"/>
          <w:szCs w:val="32"/>
          <w:highlight w:val="none"/>
        </w:rPr>
        <w:t>许昌市建安</w:t>
      </w:r>
      <w:r>
        <w:rPr>
          <w:rFonts w:ascii="仿宋_GB2312" w:hAnsi="仿宋_GB2312" w:eastAsia="仿宋_GB2312" w:cs="仿宋_GB2312"/>
          <w:kern w:val="0"/>
          <w:sz w:val="32"/>
          <w:szCs w:val="32"/>
          <w:highlight w:val="none"/>
        </w:rPr>
        <w:t>区文化广电和旅游局，对</w:t>
      </w:r>
      <w:r>
        <w:rPr>
          <w:rFonts w:hint="eastAsia" w:ascii="仿宋_GB2312" w:hAnsi="仿宋_GB2312" w:eastAsia="仿宋_GB2312" w:cs="仿宋_GB2312"/>
          <w:kern w:val="0"/>
          <w:sz w:val="32"/>
          <w:szCs w:val="32"/>
          <w:highlight w:val="none"/>
        </w:rPr>
        <w:t>许昌市建安</w:t>
      </w:r>
      <w:r>
        <w:rPr>
          <w:rFonts w:ascii="仿宋_GB2312" w:hAnsi="仿宋_GB2312" w:eastAsia="仿宋_GB2312" w:cs="仿宋_GB2312"/>
          <w:kern w:val="0"/>
          <w:sz w:val="32"/>
          <w:szCs w:val="32"/>
          <w:highlight w:val="none"/>
        </w:rPr>
        <w:t>区新闻信息中心实施领导。</w:t>
      </w:r>
    </w:p>
    <w:p>
      <w:pPr>
        <w:ind w:firstLine="640" w:firstLineChars="200"/>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（十七）完成区委交办的其他任务。</w:t>
      </w:r>
    </w:p>
    <w:p>
      <w:pPr>
        <w:spacing w:line="600" w:lineRule="exact"/>
        <w:ind w:firstLine="640" w:firstLineChars="200"/>
        <w:rPr>
          <w:rFonts w:hint="eastAsia" w:ascii="仿宋_GB2312" w:hAnsi="宋体" w:eastAsia="仿宋_GB2312" w:cs="宋体"/>
          <w:kern w:val="0"/>
          <w:sz w:val="32"/>
          <w:szCs w:val="32"/>
          <w:highlight w:val="none"/>
        </w:rPr>
      </w:pPr>
      <w:r>
        <w:rPr>
          <w:rFonts w:ascii="仿宋_GB2312" w:hAnsi="仿宋_GB2312" w:eastAsia="仿宋_GB2312" w:cs="仿宋_GB2312"/>
          <w:kern w:val="0"/>
          <w:sz w:val="32"/>
          <w:szCs w:val="32"/>
          <w:highlight w:val="none"/>
        </w:rPr>
        <w:t>（十八）有关职责分工。区委宣传部负责对出版环节的动漫、游戏出版物的网上出版发行进行管理。</w:t>
      </w:r>
      <w:r>
        <w:rPr>
          <w:rFonts w:hint="eastAsia" w:ascii="仿宋_GB2312" w:hAnsi="仿宋_GB2312" w:eastAsia="仿宋_GB2312" w:cs="仿宋_GB2312"/>
          <w:kern w:val="0"/>
          <w:sz w:val="32"/>
          <w:szCs w:val="32"/>
          <w:highlight w:val="none"/>
        </w:rPr>
        <w:t>许昌市建安</w:t>
      </w:r>
      <w:r>
        <w:rPr>
          <w:rFonts w:ascii="仿宋_GB2312" w:hAnsi="仿宋_GB2312" w:eastAsia="仿宋_GB2312" w:cs="仿宋_GB2312"/>
          <w:kern w:val="0"/>
          <w:sz w:val="32"/>
          <w:szCs w:val="32"/>
          <w:highlight w:val="none"/>
        </w:rPr>
        <w:t>区文化广电和旅游局负责动漫和网络游戏相关产业规划、产业基地、项目建设、会展交易和市场监管，负责对影视动漫和网络视听节目中的动漫节目进行管理</w:t>
      </w:r>
      <w:r>
        <w:rPr>
          <w:rFonts w:hint="eastAsia" w:ascii="仿宋_GB2312" w:hAnsi="宋体" w:eastAsia="仿宋_GB2312" w:cs="宋体"/>
          <w:kern w:val="0"/>
          <w:sz w:val="32"/>
          <w:szCs w:val="32"/>
          <w:highlight w:val="none"/>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中共许昌市建安区</w:t>
      </w:r>
      <w:r>
        <w:rPr>
          <w:rFonts w:hint="eastAsia" w:ascii="仿宋_GB2312" w:hAnsi="仿宋_GB2312" w:eastAsia="仿宋_GB2312" w:cs="仿宋_GB2312"/>
          <w:kern w:val="0"/>
          <w:sz w:val="32"/>
          <w:szCs w:val="32"/>
          <w:highlight w:val="none"/>
          <w:lang w:eastAsia="zh-CN"/>
        </w:rPr>
        <w:t>委</w:t>
      </w:r>
      <w:r>
        <w:rPr>
          <w:rFonts w:hint="eastAsia" w:ascii="仿宋_GB2312" w:hAnsi="仿宋_GB2312" w:eastAsia="仿宋_GB2312" w:cs="仿宋_GB2312"/>
          <w:kern w:val="0"/>
          <w:sz w:val="32"/>
          <w:szCs w:val="32"/>
          <w:highlight w:val="none"/>
        </w:rPr>
        <w:t>宣传部内设机构6个，包括：</w:t>
      </w:r>
      <w:r>
        <w:rPr>
          <w:rFonts w:ascii="仿宋_GB2312" w:hAnsi="仿宋_GB2312" w:eastAsia="仿宋_GB2312" w:cs="仿宋_GB2312"/>
          <w:kern w:val="0"/>
          <w:sz w:val="32"/>
          <w:szCs w:val="32"/>
          <w:highlight w:val="none"/>
        </w:rPr>
        <w:t>办公室</w:t>
      </w:r>
      <w:r>
        <w:rPr>
          <w:rFonts w:hint="eastAsia" w:ascii="仿宋_GB2312" w:hAnsi="仿宋_GB2312" w:eastAsia="仿宋_GB2312" w:cs="仿宋_GB2312"/>
          <w:kern w:val="0"/>
          <w:sz w:val="32"/>
          <w:szCs w:val="32"/>
          <w:highlight w:val="none"/>
        </w:rPr>
        <w:t>、</w:t>
      </w:r>
      <w:r>
        <w:rPr>
          <w:rFonts w:ascii="仿宋_GB2312" w:hAnsi="仿宋_GB2312" w:eastAsia="仿宋_GB2312" w:cs="仿宋_GB2312"/>
          <w:kern w:val="0"/>
          <w:sz w:val="32"/>
          <w:szCs w:val="32"/>
          <w:highlight w:val="none"/>
        </w:rPr>
        <w:t>宣教股</w:t>
      </w:r>
      <w:r>
        <w:rPr>
          <w:rFonts w:hint="eastAsia" w:ascii="仿宋_GB2312" w:hAnsi="仿宋_GB2312" w:eastAsia="仿宋_GB2312" w:cs="仿宋_GB2312"/>
          <w:kern w:val="0"/>
          <w:sz w:val="32"/>
          <w:szCs w:val="32"/>
          <w:highlight w:val="none"/>
        </w:rPr>
        <w:t>、</w:t>
      </w:r>
      <w:r>
        <w:rPr>
          <w:rFonts w:ascii="仿宋_GB2312" w:hAnsi="仿宋_GB2312" w:eastAsia="仿宋_GB2312" w:cs="仿宋_GB2312"/>
          <w:kern w:val="0"/>
          <w:sz w:val="32"/>
          <w:szCs w:val="32"/>
          <w:highlight w:val="none"/>
        </w:rPr>
        <w:t>理论股</w:t>
      </w:r>
      <w:r>
        <w:rPr>
          <w:rFonts w:hint="eastAsia" w:ascii="仿宋_GB2312" w:hAnsi="仿宋_GB2312" w:eastAsia="仿宋_GB2312" w:cs="仿宋_GB2312"/>
          <w:kern w:val="0"/>
          <w:sz w:val="32"/>
          <w:szCs w:val="32"/>
          <w:highlight w:val="none"/>
        </w:rPr>
        <w:t>、</w:t>
      </w:r>
      <w:r>
        <w:rPr>
          <w:rFonts w:ascii="仿宋_GB2312" w:hAnsi="仿宋_GB2312" w:eastAsia="仿宋_GB2312" w:cs="仿宋_GB2312"/>
          <w:kern w:val="0"/>
          <w:sz w:val="32"/>
          <w:szCs w:val="32"/>
          <w:highlight w:val="none"/>
        </w:rPr>
        <w:t>新闻股</w:t>
      </w:r>
      <w:r>
        <w:rPr>
          <w:rFonts w:hint="eastAsia" w:ascii="仿宋_GB2312" w:hAnsi="仿宋_GB2312" w:eastAsia="仿宋_GB2312" w:cs="仿宋_GB2312"/>
          <w:kern w:val="0"/>
          <w:sz w:val="32"/>
          <w:szCs w:val="32"/>
          <w:highlight w:val="none"/>
        </w:rPr>
        <w:t>、新闻出版管理和</w:t>
      </w:r>
      <w:r>
        <w:rPr>
          <w:rFonts w:ascii="仿宋_GB2312" w:hAnsi="仿宋_GB2312" w:eastAsia="仿宋_GB2312" w:cs="仿宋_GB2312"/>
          <w:kern w:val="0"/>
          <w:sz w:val="32"/>
          <w:szCs w:val="32"/>
          <w:highlight w:val="none"/>
        </w:rPr>
        <w:t>文教股</w:t>
      </w:r>
      <w:r>
        <w:rPr>
          <w:rFonts w:hint="eastAsia" w:ascii="仿宋_GB2312" w:hAnsi="仿宋_GB2312" w:eastAsia="仿宋_GB2312" w:cs="仿宋_GB2312"/>
          <w:kern w:val="0"/>
          <w:sz w:val="32"/>
          <w:szCs w:val="32"/>
          <w:highlight w:val="none"/>
        </w:rPr>
        <w:t>、</w:t>
      </w:r>
      <w:r>
        <w:rPr>
          <w:rFonts w:ascii="仿宋_GB2312" w:hAnsi="仿宋_GB2312" w:eastAsia="仿宋_GB2312" w:cs="仿宋_GB2312"/>
          <w:kern w:val="0"/>
          <w:sz w:val="32"/>
          <w:szCs w:val="32"/>
          <w:highlight w:val="none"/>
        </w:rPr>
        <w:t>对外宣传办公室</w:t>
      </w:r>
      <w:r>
        <w:rPr>
          <w:rFonts w:hint="eastAsia" w:ascii="仿宋_GB2312" w:hAnsi="仿宋_GB2312" w:eastAsia="仿宋_GB2312" w:cs="仿宋_GB2312"/>
          <w:kern w:val="0"/>
          <w:sz w:val="32"/>
          <w:szCs w:val="32"/>
          <w:highlight w:val="none"/>
        </w:rPr>
        <w:t>。二级</w:t>
      </w:r>
      <w:r>
        <w:rPr>
          <w:rFonts w:ascii="仿宋_GB2312" w:hAnsi="仿宋_GB2312" w:eastAsia="仿宋_GB2312" w:cs="仿宋_GB2312"/>
          <w:kern w:val="0"/>
          <w:sz w:val="32"/>
          <w:szCs w:val="32"/>
          <w:highlight w:val="none"/>
        </w:rPr>
        <w:t>单位两个，分别是</w:t>
      </w:r>
      <w:r>
        <w:rPr>
          <w:rFonts w:hint="eastAsia" w:ascii="仿宋_GB2312" w:hAnsi="仿宋_GB2312" w:eastAsia="仿宋_GB2312" w:cs="仿宋_GB2312"/>
          <w:sz w:val="32"/>
          <w:szCs w:val="32"/>
          <w:highlight w:val="none"/>
        </w:rPr>
        <w:t>许昌市建安区精神文明建设指导委员会办公室、许昌市建安区新闻信息中心。</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从决算单位构成看，中共许昌市建安区</w:t>
      </w:r>
      <w:r>
        <w:rPr>
          <w:rFonts w:hint="eastAsia" w:ascii="仿宋_GB2312" w:hAnsi="仿宋_GB2312" w:eastAsia="仿宋_GB2312" w:cs="仿宋_GB2312"/>
          <w:kern w:val="0"/>
          <w:sz w:val="32"/>
          <w:szCs w:val="32"/>
          <w:highlight w:val="none"/>
          <w:lang w:eastAsia="zh-CN"/>
        </w:rPr>
        <w:t>委</w:t>
      </w:r>
      <w:r>
        <w:rPr>
          <w:rFonts w:hint="eastAsia" w:ascii="仿宋_GB2312" w:hAnsi="仿宋_GB2312" w:eastAsia="仿宋_GB2312" w:cs="仿宋_GB2312"/>
          <w:kern w:val="0"/>
          <w:sz w:val="32"/>
          <w:szCs w:val="32"/>
          <w:highlight w:val="none"/>
        </w:rPr>
        <w:t>宣传部部门决算包括：本级决算、所属单位决算。</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本决算为汇总决算，纳入本部门2020年度部门决算编制范围的单位共3个，其中二级预算单位</w:t>
      </w:r>
      <w:r>
        <w:rPr>
          <w:rFonts w:ascii="仿宋_GB2312" w:hAnsi="仿宋_GB2312" w:eastAsia="仿宋_GB2312" w:cs="仿宋_GB2312"/>
          <w:kern w:val="0"/>
          <w:sz w:val="32"/>
          <w:szCs w:val="32"/>
          <w:highlight w:val="none"/>
        </w:rPr>
        <w:t>3</w:t>
      </w:r>
      <w:r>
        <w:rPr>
          <w:rFonts w:hint="eastAsia" w:ascii="仿宋_GB2312" w:hAnsi="仿宋_GB2312" w:eastAsia="仿宋_GB2312" w:cs="仿宋_GB2312"/>
          <w:kern w:val="0"/>
          <w:sz w:val="32"/>
          <w:szCs w:val="32"/>
          <w:highlight w:val="none"/>
        </w:rPr>
        <w:t>个，具体是：</w:t>
      </w:r>
    </w:p>
    <w:p>
      <w:pPr>
        <w:adjustRightInd w:val="0"/>
        <w:snapToGrid w:val="0"/>
        <w:spacing w:line="6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1、中共许昌市建安区委宣传部(本级)</w:t>
      </w:r>
    </w:p>
    <w:p>
      <w:pPr>
        <w:adjustRightInd w:val="0"/>
        <w:snapToGrid w:val="0"/>
        <w:spacing w:line="6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2、许昌市建安区精神文明建设指导委员会办公室</w:t>
      </w:r>
    </w:p>
    <w:p>
      <w:pPr>
        <w:widowControl/>
        <w:ind w:firstLine="640" w:firstLineChars="200"/>
        <w:jc w:val="left"/>
        <w:rPr>
          <w:rFonts w:hint="eastAsia" w:ascii="黑体" w:hAnsi="宋体" w:eastAsia="仿宋_GB2312" w:cs="宋体"/>
          <w:kern w:val="0"/>
          <w:sz w:val="28"/>
          <w:szCs w:val="28"/>
          <w:highlight w:val="none"/>
          <w:lang w:eastAsia="zh-CN"/>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none"/>
        </w:rPr>
        <w:t>3、许昌市建安区新闻信息中</w:t>
      </w:r>
      <w:r>
        <w:rPr>
          <w:rFonts w:hint="eastAsia" w:ascii="仿宋_GB2312" w:hAnsi="仿宋_GB2312" w:eastAsia="仿宋_GB2312" w:cs="仿宋_GB2312"/>
          <w:sz w:val="32"/>
          <w:szCs w:val="32"/>
          <w:highlight w:val="none"/>
          <w:lang w:eastAsia="zh-CN"/>
        </w:rPr>
        <w:t>心。</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8"/>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62"/>
        <w:gridCol w:w="819"/>
        <w:gridCol w:w="1368"/>
        <w:gridCol w:w="4387"/>
        <w:gridCol w:w="819"/>
        <w:gridCol w:w="2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部门：中共许昌市建安区委宣传部</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1,130.25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1,130.25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1,154.25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注：本表反映部门本年度的总收支和年末结转结余情况。本套报表金额单位转换时可能存在尾数误差。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16"/>
        <w:gridCol w:w="222"/>
        <w:gridCol w:w="223"/>
        <w:gridCol w:w="2416"/>
        <w:gridCol w:w="1232"/>
        <w:gridCol w:w="1232"/>
        <w:gridCol w:w="1000"/>
        <w:gridCol w:w="1001"/>
        <w:gridCol w:w="1001"/>
        <w:gridCol w:w="1001"/>
        <w:gridCol w:w="1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34" w:type="pct"/>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85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35"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35"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5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5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5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5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70"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34"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部门：中共许昌市建安区委宣传部</w:t>
            </w: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85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35"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35"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5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5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5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5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70"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43"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435"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本年收入合计</w:t>
            </w:r>
          </w:p>
        </w:tc>
        <w:tc>
          <w:tcPr>
            <w:tcW w:w="435"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财政拨款收入</w:t>
            </w:r>
          </w:p>
        </w:tc>
        <w:tc>
          <w:tcPr>
            <w:tcW w:w="35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上级补助收入</w:t>
            </w:r>
          </w:p>
        </w:tc>
        <w:tc>
          <w:tcPr>
            <w:tcW w:w="35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事业收入</w:t>
            </w:r>
          </w:p>
        </w:tc>
        <w:tc>
          <w:tcPr>
            <w:tcW w:w="35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经营收入</w:t>
            </w:r>
          </w:p>
        </w:tc>
        <w:tc>
          <w:tcPr>
            <w:tcW w:w="35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附属单位上缴收入</w:t>
            </w:r>
          </w:p>
        </w:tc>
        <w:tc>
          <w:tcPr>
            <w:tcW w:w="57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1"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852"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43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3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1"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852"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43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3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1"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852"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43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3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43"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43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3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5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5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5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5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57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43"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1,130.25</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1,130.25</w:t>
            </w: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8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1,115.90</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1,115.90</w:t>
            </w: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20133</w:t>
            </w:r>
          </w:p>
        </w:tc>
        <w:tc>
          <w:tcPr>
            <w:tcW w:w="8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宣传事务</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1,115.90</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1,115.90</w:t>
            </w: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2013301</w:t>
            </w:r>
          </w:p>
        </w:tc>
        <w:tc>
          <w:tcPr>
            <w:tcW w:w="8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880.35</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880.35</w:t>
            </w: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2013350</w:t>
            </w:r>
          </w:p>
        </w:tc>
        <w:tc>
          <w:tcPr>
            <w:tcW w:w="8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事业运行</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235.56</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235.56</w:t>
            </w: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8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14.35</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14.35</w:t>
            </w: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8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14.35</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14.35</w:t>
            </w: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2080501</w:t>
            </w:r>
          </w:p>
        </w:tc>
        <w:tc>
          <w:tcPr>
            <w:tcW w:w="8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行政单位离退休</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8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0.23</w:t>
            </w:r>
          </w:p>
        </w:tc>
        <w:tc>
          <w:tcPr>
            <w:tcW w:w="4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0.23</w:t>
            </w: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1"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52"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1"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52"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5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注：本表反映部门本年度取得的各项收入情况。</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16"/>
        <w:gridCol w:w="222"/>
        <w:gridCol w:w="222"/>
        <w:gridCol w:w="2416"/>
        <w:gridCol w:w="1504"/>
        <w:gridCol w:w="1504"/>
        <w:gridCol w:w="1504"/>
        <w:gridCol w:w="988"/>
        <w:gridCol w:w="982"/>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19" w:type="pct"/>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65"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70"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70"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70"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8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8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72"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19"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部门：中共许昌市建安区委宣传部</w:t>
            </w: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65"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70"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70"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70"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8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8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72"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41"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7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本年支出合计</w:t>
            </w:r>
          </w:p>
        </w:tc>
        <w:tc>
          <w:tcPr>
            <w:tcW w:w="57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57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388"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上缴上级支出</w:t>
            </w:r>
          </w:p>
        </w:tc>
        <w:tc>
          <w:tcPr>
            <w:tcW w:w="386"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经营支出</w:t>
            </w:r>
          </w:p>
        </w:tc>
        <w:tc>
          <w:tcPr>
            <w:tcW w:w="57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76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5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8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8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7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6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8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8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7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6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8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8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7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41"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57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7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7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8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8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7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41"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1,154.25</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1,007.10</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147.15</w:t>
            </w: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3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7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1,139.90</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992.75</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147.15</w:t>
            </w: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20133</w:t>
            </w:r>
          </w:p>
        </w:tc>
        <w:tc>
          <w:tcPr>
            <w:tcW w:w="7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宣传事务</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1,139.90</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992.75</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147.15</w:t>
            </w: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2013301</w:t>
            </w:r>
          </w:p>
        </w:tc>
        <w:tc>
          <w:tcPr>
            <w:tcW w:w="7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880.35</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733.19</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147.15</w:t>
            </w: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2013350</w:t>
            </w:r>
          </w:p>
        </w:tc>
        <w:tc>
          <w:tcPr>
            <w:tcW w:w="7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事业运行</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235.56</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235.56</w:t>
            </w: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2013399</w:t>
            </w:r>
          </w:p>
        </w:tc>
        <w:tc>
          <w:tcPr>
            <w:tcW w:w="7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其他宣传事务支出</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24.00</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24.00</w:t>
            </w: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7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14.35</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14.35</w:t>
            </w: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7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14.35</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14.35</w:t>
            </w: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2080501</w:t>
            </w:r>
          </w:p>
        </w:tc>
        <w:tc>
          <w:tcPr>
            <w:tcW w:w="7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行政单位离退休</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7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0.23</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0.23</w:t>
            </w: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76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注：本表反映部门本年度各项支出情况。</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98"/>
        <w:gridCol w:w="505"/>
        <w:gridCol w:w="1377"/>
        <w:gridCol w:w="3537"/>
        <w:gridCol w:w="506"/>
        <w:gridCol w:w="1089"/>
        <w:gridCol w:w="1377"/>
        <w:gridCol w:w="1061"/>
        <w:gridCol w:w="1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20" w:type="pct"/>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17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7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23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7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7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7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65"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90"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20"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部门：中共许昌市建安区委宣传部</w:t>
            </w:r>
          </w:p>
        </w:tc>
        <w:tc>
          <w:tcPr>
            <w:tcW w:w="17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7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23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7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7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7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65"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90"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72"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     入</w:t>
            </w:r>
          </w:p>
        </w:tc>
        <w:tc>
          <w:tcPr>
            <w:tcW w:w="3227"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120"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7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47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123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7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37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47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一般公共预算财政拨款</w:t>
            </w:r>
          </w:p>
        </w:tc>
        <w:tc>
          <w:tcPr>
            <w:tcW w:w="36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政府性基金预算财政拨款</w:t>
            </w:r>
          </w:p>
        </w:tc>
        <w:tc>
          <w:tcPr>
            <w:tcW w:w="59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2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7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7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3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7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8"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47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6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9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7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73"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7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7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1,130.25</w:t>
            </w: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1,139.90</w:t>
            </w:r>
          </w:p>
        </w:tc>
        <w:tc>
          <w:tcPr>
            <w:tcW w:w="47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1,139.90</w:t>
            </w: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三、国有资本经营财政拨款</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14.35</w:t>
            </w:r>
          </w:p>
        </w:tc>
        <w:tc>
          <w:tcPr>
            <w:tcW w:w="47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14.35</w:t>
            </w: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47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1,130.25</w:t>
            </w: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1,154.25</w:t>
            </w:r>
          </w:p>
        </w:tc>
        <w:tc>
          <w:tcPr>
            <w:tcW w:w="47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1,154.25</w:t>
            </w: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年初财政拨款结转和结余</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47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24.00</w:t>
            </w: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年末财政拨款结转和结余</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一般公共预算财政拨款</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47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24.00</w:t>
            </w:r>
          </w:p>
        </w:tc>
        <w:tc>
          <w:tcPr>
            <w:tcW w:w="1239"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政府性基金预算财政拨款</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国有资本经营预算财政拨款</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39"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173"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47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1,154.25</w:t>
            </w:r>
          </w:p>
        </w:tc>
        <w:tc>
          <w:tcPr>
            <w:tcW w:w="123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1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1,154.25</w:t>
            </w:r>
          </w:p>
        </w:tc>
        <w:tc>
          <w:tcPr>
            <w:tcW w:w="47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1,154.25</w:t>
            </w:r>
          </w:p>
        </w:tc>
        <w:tc>
          <w:tcPr>
            <w:tcW w:w="3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09" w:type="pct"/>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注：本表反映部门本年度一般公共预算财政拨款、政府性基金预算财政拨款和国有资本经营预算财政拨款的总收支和年末结转结余情况。</w:t>
            </w:r>
          </w:p>
        </w:tc>
        <w:tc>
          <w:tcPr>
            <w:tcW w:w="590" w:type="pct"/>
            <w:tcBorders>
              <w:top w:val="nil"/>
              <w:left w:val="nil"/>
              <w:bottom w:val="nil"/>
              <w:right w:val="nil"/>
            </w:tcBorders>
            <w:noWrap/>
            <w:vAlign w:val="center"/>
          </w:tcPr>
          <w:p>
            <w:pPr>
              <w:jc w:val="left"/>
              <w:rPr>
                <w:rFonts w:hint="eastAsia" w:ascii="宋体" w:hAnsi="宋体" w:eastAsia="宋体" w:cs="宋体"/>
                <w:i w:val="0"/>
                <w:iCs w:val="0"/>
                <w:color w:val="000000"/>
                <w:sz w:val="20"/>
                <w:szCs w:val="20"/>
                <w:highlight w:val="none"/>
                <w:u w:val="none"/>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04"/>
        <w:gridCol w:w="266"/>
        <w:gridCol w:w="272"/>
        <w:gridCol w:w="2934"/>
        <w:gridCol w:w="2033"/>
        <w:gridCol w:w="2027"/>
        <w:gridCol w:w="2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7" w:type="pct"/>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94"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94"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034"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17"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15"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964"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7"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部门：中共许昌市建安区委宣传部</w:t>
            </w:r>
          </w:p>
        </w:tc>
        <w:tc>
          <w:tcPr>
            <w:tcW w:w="94"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94"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034"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17"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15"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964"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02"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2397"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67"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1034"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71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71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96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567"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3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71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1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6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67"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3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71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1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6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0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6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0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1,154.25</w:t>
            </w:r>
          </w:p>
        </w:tc>
        <w:tc>
          <w:tcPr>
            <w:tcW w:w="71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1,007.10</w:t>
            </w:r>
          </w:p>
        </w:tc>
        <w:tc>
          <w:tcPr>
            <w:tcW w:w="96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147.15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6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10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1,139.90</w:t>
            </w:r>
          </w:p>
        </w:tc>
        <w:tc>
          <w:tcPr>
            <w:tcW w:w="71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992.75</w:t>
            </w:r>
          </w:p>
        </w:tc>
        <w:tc>
          <w:tcPr>
            <w:tcW w:w="96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6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20133</w:t>
            </w:r>
          </w:p>
        </w:tc>
        <w:tc>
          <w:tcPr>
            <w:tcW w:w="10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宣传事务</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1,139.90</w:t>
            </w:r>
          </w:p>
        </w:tc>
        <w:tc>
          <w:tcPr>
            <w:tcW w:w="71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992.75</w:t>
            </w:r>
          </w:p>
        </w:tc>
        <w:tc>
          <w:tcPr>
            <w:tcW w:w="96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6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2013301</w:t>
            </w:r>
          </w:p>
        </w:tc>
        <w:tc>
          <w:tcPr>
            <w:tcW w:w="10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880.35</w:t>
            </w:r>
          </w:p>
        </w:tc>
        <w:tc>
          <w:tcPr>
            <w:tcW w:w="71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733.19</w:t>
            </w:r>
          </w:p>
        </w:tc>
        <w:tc>
          <w:tcPr>
            <w:tcW w:w="96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6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2013350</w:t>
            </w:r>
          </w:p>
        </w:tc>
        <w:tc>
          <w:tcPr>
            <w:tcW w:w="10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事业运行</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235.56</w:t>
            </w:r>
          </w:p>
        </w:tc>
        <w:tc>
          <w:tcPr>
            <w:tcW w:w="71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235.56</w:t>
            </w:r>
          </w:p>
        </w:tc>
        <w:tc>
          <w:tcPr>
            <w:tcW w:w="9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6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2013399</w:t>
            </w:r>
          </w:p>
        </w:tc>
        <w:tc>
          <w:tcPr>
            <w:tcW w:w="10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其他宣传事务支出</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24.00</w:t>
            </w:r>
          </w:p>
        </w:tc>
        <w:tc>
          <w:tcPr>
            <w:tcW w:w="71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24.00</w:t>
            </w:r>
          </w:p>
        </w:tc>
        <w:tc>
          <w:tcPr>
            <w:tcW w:w="9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6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10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14.35</w:t>
            </w:r>
          </w:p>
        </w:tc>
        <w:tc>
          <w:tcPr>
            <w:tcW w:w="71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14.35</w:t>
            </w:r>
          </w:p>
        </w:tc>
        <w:tc>
          <w:tcPr>
            <w:tcW w:w="9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6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10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14.35</w:t>
            </w:r>
          </w:p>
        </w:tc>
        <w:tc>
          <w:tcPr>
            <w:tcW w:w="71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14.35</w:t>
            </w:r>
          </w:p>
        </w:tc>
        <w:tc>
          <w:tcPr>
            <w:tcW w:w="9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6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2080501</w:t>
            </w:r>
          </w:p>
        </w:tc>
        <w:tc>
          <w:tcPr>
            <w:tcW w:w="10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行政单位离退休</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71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14.12</w:t>
            </w:r>
          </w:p>
        </w:tc>
        <w:tc>
          <w:tcPr>
            <w:tcW w:w="9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6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10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0.23</w:t>
            </w:r>
          </w:p>
        </w:tc>
        <w:tc>
          <w:tcPr>
            <w:tcW w:w="71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0.23</w:t>
            </w:r>
          </w:p>
        </w:tc>
        <w:tc>
          <w:tcPr>
            <w:tcW w:w="9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67"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03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1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注：本表反映部门本年度一般公共预算财政拨款支出情况。</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
        <w:gridCol w:w="3248"/>
        <w:gridCol w:w="822"/>
        <w:gridCol w:w="721"/>
        <w:gridCol w:w="2237"/>
        <w:gridCol w:w="822"/>
        <w:gridCol w:w="722"/>
        <w:gridCol w:w="4058"/>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2" w:type="pct"/>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113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87"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5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81"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87"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5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751"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85" w:type="pct"/>
            <w:gridSpan w:val="2"/>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部门：中共许昌市建安区委宣传部</w:t>
            </w:r>
          </w:p>
        </w:tc>
        <w:tc>
          <w:tcPr>
            <w:tcW w:w="287"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5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81"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87"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5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751"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3"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w:t>
            </w:r>
          </w:p>
        </w:tc>
        <w:tc>
          <w:tcPr>
            <w:tcW w:w="3326"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113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28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25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78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28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25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141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33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3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8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5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8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8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5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1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3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工资福利支出</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642.35</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商品和服务支出</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312.15</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债务利息及费用支出</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30101</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基本工资</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166.44</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30201</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20.18</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30701</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国内债务付息</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30102</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津贴补贴</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72.07</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30202</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印刷费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78.10</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30702</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国外债务付息</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30103</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奖金</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219.44</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30203</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咨询费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资本性支出</w:t>
            </w:r>
          </w:p>
        </w:tc>
        <w:tc>
          <w:tcPr>
            <w:tcW w:w="3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30106</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伙食补助费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30204</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手续费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0.01</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31001</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房屋建筑物购建</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30107</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绩效工资</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47.13</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30205</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水费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31002</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办公设备购置</w:t>
            </w:r>
          </w:p>
        </w:tc>
        <w:tc>
          <w:tcPr>
            <w:tcW w:w="3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30108</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46.89</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30206</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电费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31003</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专用设备购置</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30109</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职业年金缴费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2.88</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30207</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邮电费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1.91</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31005</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基础设施建设</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30110</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职工基本医疗保险缴费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16.30</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30208</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取暖费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31006</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大型修缮</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30111</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公务员医疗补助缴费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30209</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物业管理费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31007</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信息网络及软件购置更新</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30112</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其他社会保障缴费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30211</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差旅费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1.73</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31008</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物资储备</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30113</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63.12</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30212</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因公出国（境）费用</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31009</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土地补偿</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30114</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5.81</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30213</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维修（护）费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9.05</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31010</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安置补助</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30199</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其他工资福利支出</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0.66</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30214</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租赁费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14.27</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31011</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地上附着物和青苗补偿</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对个人和家庭的补助</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40.17</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30215</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会议费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31012</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拆迁补偿</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30301</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离休费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30216</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培训费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10.50</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31013</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公务用车购置</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30302</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退休费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14.35</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30217</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公务接待费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31019</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其他交通工具购置</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30303</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退职（役）费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30218</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专用材料费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31021</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文物和陈列品购置</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30304</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抚恤金</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30224</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被装购置费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31022</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无形资产购置</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30305</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生活补助</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30225</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专用燃料费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31099</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其他资本性支出</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30306</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救济费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30226</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劳务费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19.20</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30307</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医疗费补助</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30227</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委托业务费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113.94</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39906</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赠与</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30308</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助学金</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30228</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工会经费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39907</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国家赔偿费用支出</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30309</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奖励金</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24.00</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30229</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福利费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39908</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对民间非营利组织和群众性自治组织补贴</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30310</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个人农业生产补贴</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30231</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公务用车运行维护费</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39999</w:t>
            </w:r>
          </w:p>
        </w:tc>
        <w:tc>
          <w:tcPr>
            <w:tcW w:w="141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30311</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代缴社会保险费</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30239</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其他交通费用</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26.18</w:t>
            </w:r>
          </w:p>
        </w:tc>
        <w:tc>
          <w:tcPr>
            <w:tcW w:w="252"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41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30399</w:t>
            </w:r>
          </w:p>
        </w:tc>
        <w:tc>
          <w:tcPr>
            <w:tcW w:w="11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其他对个人和家庭的补助</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30240</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税金及附加费用</w:t>
            </w: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41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133"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8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30299</w:t>
            </w:r>
          </w:p>
        </w:tc>
        <w:tc>
          <w:tcPr>
            <w:tcW w:w="78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其他商品和服务支出</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13.22</w:t>
            </w:r>
          </w:p>
        </w:tc>
        <w:tc>
          <w:tcPr>
            <w:tcW w:w="252"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41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3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5"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人员经费合计</w:t>
            </w:r>
          </w:p>
        </w:tc>
        <w:tc>
          <w:tcPr>
            <w:tcW w:w="28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682.52</w:t>
            </w:r>
          </w:p>
        </w:tc>
        <w:tc>
          <w:tcPr>
            <w:tcW w:w="2990"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公用经费合计</w:t>
            </w:r>
          </w:p>
        </w:tc>
        <w:tc>
          <w:tcPr>
            <w:tcW w:w="33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注：本表反映部门本年度一般公共预算财政拨款基本支出明细情况。</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16"/>
        <w:gridCol w:w="1080"/>
        <w:gridCol w:w="960"/>
        <w:gridCol w:w="725"/>
        <w:gridCol w:w="965"/>
        <w:gridCol w:w="736"/>
        <w:gridCol w:w="960"/>
        <w:gridCol w:w="1081"/>
        <w:gridCol w:w="961"/>
        <w:gridCol w:w="726"/>
        <w:gridCol w:w="966"/>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49" w:type="pct"/>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7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8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7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8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7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7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8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7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79"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49"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部门：中共许昌市建安区委宣传部</w:t>
            </w: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7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8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7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8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7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7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8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7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79"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93"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预算数</w:t>
            </w:r>
          </w:p>
        </w:tc>
        <w:tc>
          <w:tcPr>
            <w:tcW w:w="2306" w:type="pct"/>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9"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4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1037"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28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c>
          <w:tcPr>
            <w:tcW w:w="37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4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1037"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47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49"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28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37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28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28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37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47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9"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7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8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7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28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7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37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28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37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47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2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2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2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4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注：本表反映部门本年度“三公”经费支出预决算情况。其中，预算数为“三公”经费年初预算数；决算数是包括当年一般公共预算财政拨款和以前年度结转资金安排的实际支出。</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95"/>
        <w:gridCol w:w="266"/>
        <w:gridCol w:w="272"/>
        <w:gridCol w:w="1327"/>
        <w:gridCol w:w="1281"/>
        <w:gridCol w:w="1281"/>
        <w:gridCol w:w="1281"/>
        <w:gridCol w:w="1281"/>
        <w:gridCol w:w="1282"/>
        <w:gridCol w:w="2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4" w:type="pct"/>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94"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94"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6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5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5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5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5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5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05"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4"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部门：中共许昌市建安区委宣传部</w:t>
            </w:r>
          </w:p>
        </w:tc>
        <w:tc>
          <w:tcPr>
            <w:tcW w:w="94"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94"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6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5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5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5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5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5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05"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32"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45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45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w:t>
            </w:r>
          </w:p>
        </w:tc>
        <w:tc>
          <w:tcPr>
            <w:tcW w:w="1356"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c>
          <w:tcPr>
            <w:tcW w:w="705"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64"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46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4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5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45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45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70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64"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68"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4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5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5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5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0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64"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68"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4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5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5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5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0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3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4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70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3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7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6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6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6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6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6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6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注：本表反映部门本年度政府性基金预算财政拨款收入、支出及结转和结余情况。</w:t>
            </w:r>
          </w:p>
        </w:tc>
      </w:tr>
    </w:tbl>
    <w:p>
      <w:pPr>
        <w:jc w:val="cente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none"/>
        </w:rPr>
        <w:t>说明：我部门没有政府性基金收入，也没有使用政府性基金安排的支出，故本表无数据。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1154.25</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42.62</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3.56</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。主要原因是2</w:t>
      </w:r>
      <w:r>
        <w:rPr>
          <w:rFonts w:ascii="仿宋_GB2312" w:hAnsi="仿宋_GB2312" w:eastAsia="仿宋_GB2312" w:cs="仿宋_GB2312"/>
          <w:sz w:val="32"/>
          <w:szCs w:val="32"/>
          <w:highlight w:val="none"/>
        </w:rPr>
        <w:t>02</w:t>
      </w:r>
      <w:r>
        <w:rPr>
          <w:rFonts w:hint="eastAsia" w:ascii="仿宋_GB2312" w:hAnsi="仿宋_GB2312" w:eastAsia="仿宋_GB2312" w:cs="仿宋_GB2312"/>
          <w:sz w:val="32"/>
          <w:szCs w:val="32"/>
          <w:highlight w:val="none"/>
          <w:lang w:val="en-US" w:eastAsia="zh-CN"/>
        </w:rPr>
        <w:t>1年人员经费减少，响应国家号召，压减经费支出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1130.25</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1130.25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上级补助收0.00万元，占0.00%；事业收入0.00万元，占0.00%；经营收入0.00万元，占0.00%；附属单位上缴收入0.00万元，占0.00%；其他收入0.00万元，占0.00%。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1154.25</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1007.10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87.25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项目支出147.15万元，占12.75%；上缴上级支出0.00万元，占0.00%；经营支出0.00万元，占0.00%；对附属单位补助支出0.00万元，占0.00%。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1154.25</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42.62</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3.56</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。主要原因是2</w:t>
      </w:r>
      <w:r>
        <w:rPr>
          <w:rFonts w:ascii="仿宋_GB2312" w:hAnsi="仿宋_GB2312" w:eastAsia="仿宋_GB2312" w:cs="仿宋_GB2312"/>
          <w:sz w:val="32"/>
          <w:szCs w:val="32"/>
          <w:highlight w:val="none"/>
        </w:rPr>
        <w:t>02</w:t>
      </w:r>
      <w:r>
        <w:rPr>
          <w:rFonts w:hint="eastAsia" w:ascii="仿宋_GB2312" w:hAnsi="仿宋_GB2312" w:eastAsia="仿宋_GB2312" w:cs="仿宋_GB2312"/>
          <w:sz w:val="32"/>
          <w:szCs w:val="32"/>
          <w:highlight w:val="none"/>
          <w:lang w:val="en-US" w:eastAsia="zh-CN"/>
        </w:rPr>
        <w:t>1年人员经费减少，响应国家号召，压减经费支出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1154.25</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17.41</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1.49</w:t>
      </w:r>
      <w:r>
        <w:rPr>
          <w:rFonts w:hint="eastAsia" w:ascii="仿宋_GB2312" w:hAnsi="仿宋_GB2312" w:eastAsia="仿宋_GB2312" w:cs="仿宋_GB2312"/>
          <w:sz w:val="32"/>
          <w:szCs w:val="32"/>
          <w:highlight w:val="none"/>
        </w:rPr>
        <w:t>%。主要原因是2</w:t>
      </w:r>
      <w:r>
        <w:rPr>
          <w:rFonts w:ascii="仿宋_GB2312" w:hAnsi="仿宋_GB2312" w:eastAsia="仿宋_GB2312" w:cs="仿宋_GB2312"/>
          <w:sz w:val="32"/>
          <w:szCs w:val="32"/>
          <w:highlight w:val="none"/>
        </w:rPr>
        <w:t>02</w:t>
      </w:r>
      <w:r>
        <w:rPr>
          <w:rFonts w:hint="eastAsia" w:ascii="仿宋_GB2312" w:hAnsi="仿宋_GB2312" w:eastAsia="仿宋_GB2312" w:cs="仿宋_GB2312"/>
          <w:sz w:val="32"/>
          <w:szCs w:val="32"/>
          <w:highlight w:val="none"/>
          <w:lang w:val="en-US" w:eastAsia="zh-CN"/>
        </w:rPr>
        <w:t>1年人员经费减少，响应国家号召，压减经费支出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1154.25</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1139.90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98.76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社会和就业（类）支出</w:t>
      </w:r>
      <w:r>
        <w:rPr>
          <w:rFonts w:hint="eastAsia" w:ascii="仿宋_GB2312" w:hAnsi="仿宋_GB2312" w:eastAsia="仿宋_GB2312" w:cs="仿宋_GB2312"/>
          <w:sz w:val="32"/>
          <w:szCs w:val="32"/>
          <w:highlight w:val="none"/>
          <w:lang w:val="en-US" w:eastAsia="zh-CN"/>
        </w:rPr>
        <w:t>14.35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1.24</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1141.64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1154.25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101.10</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．一般公共服务支出（类）宣传事务（款）行政运行（项）。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669.67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880.35</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131.46</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val="en-US" w:eastAsia="zh-CN"/>
        </w:rPr>
        <w:t>2021年因年中养老医保基数调高</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．一般公共服务支出（类）宣传事务（款）事业运行（项）。</w:t>
      </w:r>
      <w:r>
        <w:rPr>
          <w:rFonts w:hint="eastAsia" w:ascii="仿宋_GB2312" w:hAnsi="仿宋_GB2312" w:eastAsia="仿宋_GB2312" w:cs="仿宋_GB2312"/>
          <w:sz w:val="32"/>
          <w:szCs w:val="32"/>
          <w:highlight w:val="none"/>
        </w:rPr>
        <w:t>年初预算为202.48万元，支出决算为</w:t>
      </w:r>
      <w:r>
        <w:rPr>
          <w:rFonts w:hint="eastAsia" w:ascii="仿宋_GB2312" w:hAnsi="仿宋_GB2312" w:eastAsia="仿宋_GB2312" w:cs="仿宋_GB2312"/>
          <w:sz w:val="32"/>
          <w:szCs w:val="32"/>
          <w:highlight w:val="none"/>
          <w:lang w:val="en-US" w:eastAsia="zh-CN"/>
        </w:rPr>
        <w:t>235.56</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116.34</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val="en-US" w:eastAsia="zh-CN"/>
        </w:rPr>
        <w:t>2021年因年中养老医保基数调高</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．一般公共服务支出（类）宣传事务（款）其他宣传事务支出（项）。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257.36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24.00</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9.33%。</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val="en-US" w:eastAsia="zh-CN"/>
        </w:rPr>
        <w:t>该项目资金属于临时性支出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．社会保障和就业支出（类）行政事业单位养老支出（款）行政单位离退休（项）。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12.00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14.12</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117.67</w:t>
      </w:r>
      <w:r>
        <w:rPr>
          <w:rFonts w:hint="eastAsia" w:ascii="仿宋_GB2312" w:hAnsi="仿宋_GB2312" w:eastAsia="仿宋_GB2312" w:cs="仿宋_GB2312"/>
          <w:sz w:val="32"/>
          <w:szCs w:val="32"/>
          <w:highlight w:val="none"/>
        </w:rPr>
        <w:t>%。决算数与年初预算数存在差异的主要原因是2</w:t>
      </w:r>
      <w:r>
        <w:rPr>
          <w:rFonts w:ascii="仿宋_GB2312" w:hAnsi="仿宋_GB2312" w:eastAsia="仿宋_GB2312" w:cs="仿宋_GB2312"/>
          <w:sz w:val="32"/>
          <w:szCs w:val="32"/>
          <w:highlight w:val="none"/>
        </w:rPr>
        <w:t>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w:t>
      </w:r>
      <w:r>
        <w:rPr>
          <w:rFonts w:ascii="仿宋_GB2312" w:hAnsi="仿宋_GB2312" w:eastAsia="仿宋_GB2312" w:cs="仿宋_GB2312"/>
          <w:sz w:val="32"/>
          <w:szCs w:val="32"/>
          <w:highlight w:val="none"/>
        </w:rPr>
        <w:t>退休人员</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rPr>
        <w:t>。</w:t>
      </w:r>
      <w:bookmarkStart w:id="0" w:name="_GoBack"/>
      <w:bookmarkEnd w:id="0"/>
    </w:p>
    <w:p>
      <w:pPr>
        <w:widowControl/>
        <w:spacing w:line="590" w:lineRule="exact"/>
        <w:ind w:firstLine="643" w:firstLineChars="200"/>
        <w:rPr>
          <w:rFonts w:hint="eastAsia" w:ascii="黑体" w:hAnsi="黑体" w:eastAsia="黑体" w:cs="黑体"/>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．社会保障和就业支出（类）行政事业单位养老支出（款）</w:t>
      </w:r>
      <w:r>
        <w:rPr>
          <w:rFonts w:hint="eastAsia" w:ascii="仿宋_GB2312" w:hAnsi="仿宋_GB2312" w:eastAsia="仿宋_GB2312" w:cs="仿宋_GB2312"/>
          <w:b/>
          <w:bCs/>
          <w:sz w:val="32"/>
          <w:szCs w:val="32"/>
          <w:highlight w:val="none"/>
          <w:lang w:eastAsia="zh-CN"/>
        </w:rPr>
        <w:t>事业</w:t>
      </w:r>
      <w:r>
        <w:rPr>
          <w:rFonts w:hint="eastAsia" w:ascii="仿宋_GB2312" w:hAnsi="仿宋_GB2312" w:eastAsia="仿宋_GB2312" w:cs="仿宋_GB2312"/>
          <w:b/>
          <w:bCs/>
          <w:sz w:val="32"/>
          <w:szCs w:val="32"/>
          <w:highlight w:val="none"/>
        </w:rPr>
        <w:t>单位离退休（项）。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0.13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0.23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完成年初预算</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lang w:val="en-US" w:eastAsia="zh-CN"/>
        </w:rPr>
        <w:t>176.92</w:t>
      </w:r>
      <w:r>
        <w:rPr>
          <w:rFonts w:hint="eastAsia" w:ascii="仿宋_GB2312" w:hAnsi="仿宋_GB2312" w:eastAsia="仿宋_GB2312" w:cs="仿宋_GB2312"/>
          <w:sz w:val="32"/>
          <w:szCs w:val="32"/>
          <w:highlight w:val="none"/>
        </w:rPr>
        <w:t>%。决算数与年初预算数存在差异的主要原因是2</w:t>
      </w:r>
      <w:r>
        <w:rPr>
          <w:rFonts w:ascii="仿宋_GB2312" w:hAnsi="仿宋_GB2312" w:eastAsia="仿宋_GB2312" w:cs="仿宋_GB2312"/>
          <w:sz w:val="32"/>
          <w:szCs w:val="32"/>
          <w:highlight w:val="none"/>
        </w:rPr>
        <w:t>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新增</w:t>
      </w:r>
      <w:r>
        <w:rPr>
          <w:rFonts w:ascii="仿宋_GB2312" w:hAnsi="仿宋_GB2312" w:eastAsia="仿宋_GB2312" w:cs="仿宋_GB2312"/>
          <w:sz w:val="32"/>
          <w:szCs w:val="32"/>
          <w:highlight w:val="none"/>
        </w:rPr>
        <w:t>退休人员</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1007.10</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682.52</w:t>
      </w:r>
      <w:r>
        <w:rPr>
          <w:rFonts w:hint="eastAsia" w:ascii="仿宋_GB2312" w:hAnsi="仿宋_GB2312" w:eastAsia="仿宋_GB2312" w:cs="仿宋_GB2312"/>
          <w:sz w:val="32"/>
          <w:szCs w:val="32"/>
          <w:highlight w:val="none"/>
        </w:rPr>
        <w:t>万元，主要包括：基本工资、津贴补贴、绩效工资、机关事业单位基本养老保险缴费、职业年金缴费、职工基本医疗保险缴费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其他社会保障缴费、</w:t>
      </w:r>
      <w:r>
        <w:rPr>
          <w:rFonts w:hint="eastAsia" w:ascii="仿宋_GB2312" w:hAnsi="仿宋_GB2312" w:eastAsia="仿宋_GB2312" w:cs="仿宋_GB2312"/>
          <w:sz w:val="32"/>
          <w:szCs w:val="32"/>
          <w:highlight w:val="none"/>
          <w:lang w:eastAsia="zh-CN"/>
        </w:rPr>
        <w:t>住房公积金、医疗费、其他工资福利支出、</w:t>
      </w:r>
      <w:r>
        <w:rPr>
          <w:rFonts w:hint="eastAsia" w:ascii="仿宋_GB2312" w:hAnsi="仿宋_GB2312" w:eastAsia="仿宋_GB2312" w:cs="仿宋_GB2312"/>
          <w:sz w:val="32"/>
          <w:szCs w:val="32"/>
          <w:highlight w:val="none"/>
        </w:rPr>
        <w:t>退休费、生活补助、奖励金；公用经费</w:t>
      </w:r>
      <w:r>
        <w:rPr>
          <w:rFonts w:hint="eastAsia" w:ascii="仿宋_GB2312" w:hAnsi="仿宋_GB2312" w:eastAsia="仿宋_GB2312" w:cs="仿宋_GB2312"/>
          <w:sz w:val="32"/>
          <w:szCs w:val="32"/>
          <w:highlight w:val="none"/>
          <w:lang w:val="en-US" w:eastAsia="zh-CN"/>
        </w:rPr>
        <w:t>324.58</w:t>
      </w:r>
      <w:r>
        <w:rPr>
          <w:rFonts w:hint="eastAsia" w:ascii="仿宋_GB2312" w:hAnsi="仿宋_GB2312" w:eastAsia="仿宋_GB2312" w:cs="仿宋_GB2312"/>
          <w:sz w:val="32"/>
          <w:szCs w:val="32"/>
          <w:highlight w:val="none"/>
        </w:rPr>
        <w:t>万元，主要包括：办公费、印刷费、手续费、邮电费、取暖费、差旅费、维修（护）费、租赁费、培训费、劳务费、委托业务费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公务用车运行维护费、其他交通费用、其他商品和服务支出、办公设备购置。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1.35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1.35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1.35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1.35</w:t>
      </w:r>
      <w:r>
        <w:rPr>
          <w:rFonts w:hint="eastAsia" w:ascii="仿宋_GB2312" w:hAnsi="仿宋_GB2312" w:eastAsia="仿宋_GB2312" w:cs="仿宋_GB2312"/>
          <w:sz w:val="32"/>
          <w:szCs w:val="32"/>
          <w:highlight w:val="none"/>
        </w:rPr>
        <w:t>万元。主要用于我单位公务用车</w:t>
      </w:r>
      <w:r>
        <w:rPr>
          <w:rFonts w:ascii="仿宋_GB2312" w:hAnsi="仿宋_GB2312" w:eastAsia="仿宋_GB2312" w:cs="仿宋_GB2312"/>
          <w:sz w:val="32"/>
          <w:szCs w:val="32"/>
          <w:highlight w:val="none"/>
        </w:rPr>
        <w:t>的日常维修保养、保险等开支</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2021年度政府性基金预算财政拨款支出年初预算为0.00万元，支出决算为0.00万元，完成预算的0.00%。不存在项目年末结转和结余资金数额较大。情况说明：</w:t>
      </w:r>
      <w:r>
        <w:rPr>
          <w:rFonts w:hint="eastAsia" w:ascii="仿宋_GB2312" w:hAnsi="仿宋_GB2312" w:eastAsia="仿宋_GB2312" w:cs="仿宋_GB2312"/>
          <w:sz w:val="32"/>
          <w:szCs w:val="32"/>
          <w:highlight w:val="none"/>
        </w:rPr>
        <w:t>我单位202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22.79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255.29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1120.18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预算数存在差异的主要原因是决算数与年初预算数存在差异的主要原因是业务活动</w:t>
      </w:r>
      <w:r>
        <w:rPr>
          <w:rFonts w:ascii="仿宋_GB2312" w:hAnsi="仿宋_GB2312" w:eastAsia="仿宋_GB2312" w:cs="仿宋_GB2312"/>
          <w:sz w:val="32"/>
          <w:szCs w:val="32"/>
          <w:highlight w:val="none"/>
        </w:rPr>
        <w:t>增</w:t>
      </w:r>
      <w:r>
        <w:rPr>
          <w:rFonts w:hint="eastAsia" w:ascii="仿宋_GB2312" w:hAnsi="仿宋_GB2312" w:eastAsia="仿宋_GB2312" w:cs="仿宋_GB2312"/>
          <w:sz w:val="32"/>
          <w:szCs w:val="32"/>
          <w:highlight w:val="none"/>
        </w:rPr>
        <w:t>加、</w:t>
      </w:r>
      <w:r>
        <w:rPr>
          <w:rFonts w:ascii="仿宋_GB2312" w:hAnsi="仿宋_GB2312" w:eastAsia="仿宋_GB2312" w:cs="仿宋_GB2312"/>
          <w:sz w:val="32"/>
          <w:szCs w:val="32"/>
          <w:highlight w:val="none"/>
        </w:rPr>
        <w:t>支出增加</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2021年我部门纳入预算绩效管理的支出总额为1154.25万元，其中：基本支出1007.10万元；支出项目9个，支出金额147.15万元。开展项目绩效自评项目9个，自评金额147.15万元；纳入重点绩效评价0个，评价金额0万元。</w:t>
      </w:r>
    </w:p>
    <w:p>
      <w:pPr>
        <w:numPr>
          <w:ilvl w:val="0"/>
          <w:numId w:val="2"/>
        </w:numPr>
        <w:autoSpaceDE w:val="0"/>
        <w:autoSpaceDN w:val="0"/>
        <w:adjustRightInd w:val="0"/>
        <w:spacing w:line="360" w:lineRule="auto"/>
        <w:ind w:firstLine="643" w:firstLineChars="200"/>
        <w:jc w:val="left"/>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部门（单位）整体和项目绩效自评结果。</w:t>
      </w:r>
    </w:p>
    <w:p>
      <w:pPr>
        <w:numPr>
          <w:ilvl w:val="0"/>
          <w:numId w:val="0"/>
        </w:numPr>
        <w:autoSpaceDE w:val="0"/>
        <w:autoSpaceDN w:val="0"/>
        <w:adjustRightInd w:val="0"/>
        <w:spacing w:line="360" w:lineRule="auto"/>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《许昌市建安区财政局关于开展2021年度区级预算项目绩效自评工作的通知》（建安财效〔2022〕2号）等文件精神，我部门对本部门整体绩效目标和项目支出绩效目标进行了自评。  一是部门整体绩效自评情况。</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中共许昌市建安</w:t>
      </w:r>
      <w:r>
        <w:rPr>
          <w:rFonts w:hint="eastAsia" w:ascii="仿宋_GB2312" w:hAnsi="仿宋_GB2312" w:eastAsia="仿宋_GB2312" w:cs="仿宋_GB2312"/>
          <w:sz w:val="32"/>
          <w:szCs w:val="32"/>
          <w:highlight w:val="none"/>
        </w:rPr>
        <w:t>区委宣传部资金来源于财政拨款。资金主要用于办案。项目所有开支均按照我</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财务管理制度和绩效管理制度执行，遵守相关法律法规和业务管理规定，手续完备，及时收集相关资料并归档，确保统计各项工作正常运转。无截留、无挤占、挪用，确保专款专用。绩效管理工作职能和职责分工明确，整体工作成果和风采宣传到位。根据实际工作情况，逐步完善各项制度。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年在各部门的共同努力下，实现绩效目标，圆满地完成了各项任务。</w:t>
      </w:r>
      <w:r>
        <w:rPr>
          <w:rFonts w:hint="eastAsia" w:ascii="仿宋_GB2312" w:hAnsi="仿宋_GB2312" w:eastAsia="仿宋_GB2312" w:cs="仿宋_GB2312"/>
          <w:color w:val="auto"/>
          <w:sz w:val="32"/>
          <w:szCs w:val="32"/>
          <w:highlight w:val="none"/>
          <w:lang w:val="en-US" w:eastAsia="zh-CN"/>
        </w:rPr>
        <w:t>二是项目绩效自评情况。我部门共有9个项目批复了绩效目标。其中：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eastAsia="zh-CN"/>
        </w:rPr>
        <w:t>中共许昌市建安</w:t>
      </w:r>
      <w:r>
        <w:rPr>
          <w:rFonts w:hint="eastAsia" w:ascii="仿宋_GB2312" w:hAnsi="仿宋_GB2312" w:eastAsia="仿宋_GB2312" w:cs="仿宋_GB2312"/>
          <w:sz w:val="32"/>
          <w:szCs w:val="32"/>
          <w:highlight w:val="none"/>
        </w:rPr>
        <w:t>区委宣传部</w:t>
      </w:r>
      <w:r>
        <w:rPr>
          <w:rFonts w:hint="eastAsia" w:ascii="仿宋_GB2312" w:hAnsi="仿宋_GB2312" w:eastAsia="仿宋_GB2312" w:cs="仿宋_GB2312"/>
          <w:kern w:val="0"/>
          <w:sz w:val="32"/>
          <w:szCs w:val="32"/>
          <w:highlight w:val="none"/>
          <w:lang w:eastAsia="zh-CN"/>
        </w:rPr>
        <w:t>（本级）</w:t>
      </w:r>
      <w:r>
        <w:rPr>
          <w:rFonts w:hint="eastAsia" w:ascii="仿宋_GB2312" w:hAnsi="仿宋_GB2312" w:eastAsia="仿宋_GB2312" w:cs="仿宋_GB2312"/>
          <w:color w:val="auto"/>
          <w:sz w:val="32"/>
          <w:szCs w:val="32"/>
          <w:highlight w:val="none"/>
          <w:lang w:val="en-US" w:eastAsia="zh-CN"/>
        </w:rPr>
        <w:t>9个。</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基于项目预期目标的实现程度，对2021年度项目支出绩效进行自评，绩效自评平均得分为95分。其中： 1个项目评价等级为“优”、4个项目评价等级为“良”、4个项目评价等级为“中”。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我单位选取0个项目开展了部门重点评价，评价得分：/分，等次为“/”。许昌市建安区财政局选取我单位：0个项目开展财政重点评价。</w:t>
      </w:r>
    </w:p>
    <w:p>
      <w:pPr>
        <w:widowControl/>
        <w:ind w:firstLine="640" w:firstLineChars="200"/>
        <w:jc w:val="left"/>
        <w:rPr>
          <w:rFonts w:hint="default" w:ascii="黑体" w:hAnsi="宋体" w:eastAsia="黑体" w:cs="宋体"/>
          <w:kern w:val="0"/>
          <w:sz w:val="28"/>
          <w:szCs w:val="28"/>
          <w:highlight w:val="none"/>
          <w:lang w:val="en-US"/>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ind w:firstLine="2400" w:firstLineChars="500"/>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十、年末结余：本年度或以前年度预算安排，已执行完毕或因客观条件发生变化无法按原预算安排实施，不需要再使用或无法按原预算安排继续使用的资金</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jc w:val="left"/>
        <w:rPr>
          <w:rFonts w:hint="eastAsia" w:ascii="仿宋_GB2312" w:hAnsi="仿宋_GB2312" w:eastAsia="仿宋_GB2312" w:cs="仿宋_GB2312"/>
          <w:sz w:val="32"/>
          <w:szCs w:val="32"/>
          <w:highlight w:val="none"/>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27DE0"/>
    <w:multiLevelType w:val="singleLevel"/>
    <w:tmpl w:val="C9527DE0"/>
    <w:lvl w:ilvl="0" w:tentative="0">
      <w:start w:val="2"/>
      <w:numFmt w:val="chineseCounting"/>
      <w:suff w:val="nothing"/>
      <w:lvlText w:val="（%1）"/>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NTJmZmNiYTdkYTgyYzg0YWIyMGM2MzA4ZWY1NT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F614FE"/>
    <w:rsid w:val="21302EEA"/>
    <w:rsid w:val="213203C3"/>
    <w:rsid w:val="22376FB5"/>
    <w:rsid w:val="23E152D7"/>
    <w:rsid w:val="23EE2489"/>
    <w:rsid w:val="255D43C8"/>
    <w:rsid w:val="26714EF8"/>
    <w:rsid w:val="26876BDD"/>
    <w:rsid w:val="2714632A"/>
    <w:rsid w:val="27541E73"/>
    <w:rsid w:val="27B0539E"/>
    <w:rsid w:val="29365CF8"/>
    <w:rsid w:val="299469B3"/>
    <w:rsid w:val="2A805789"/>
    <w:rsid w:val="2ADC0D75"/>
    <w:rsid w:val="2B4A0E52"/>
    <w:rsid w:val="2BF534CC"/>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615CD0"/>
    <w:rsid w:val="3E9C47F6"/>
    <w:rsid w:val="3F8B0112"/>
    <w:rsid w:val="3FAB3095"/>
    <w:rsid w:val="3FE45947"/>
    <w:rsid w:val="401A0315"/>
    <w:rsid w:val="41242965"/>
    <w:rsid w:val="435671EA"/>
    <w:rsid w:val="440809E9"/>
    <w:rsid w:val="442407A6"/>
    <w:rsid w:val="44805EA1"/>
    <w:rsid w:val="45710696"/>
    <w:rsid w:val="46142B1B"/>
    <w:rsid w:val="47E60DD0"/>
    <w:rsid w:val="48735039"/>
    <w:rsid w:val="492C684B"/>
    <w:rsid w:val="49500594"/>
    <w:rsid w:val="49E7604E"/>
    <w:rsid w:val="4BF67CDD"/>
    <w:rsid w:val="4C871767"/>
    <w:rsid w:val="4CD53DAF"/>
    <w:rsid w:val="4D173441"/>
    <w:rsid w:val="4D603DD6"/>
    <w:rsid w:val="4EBF010F"/>
    <w:rsid w:val="4F471EB0"/>
    <w:rsid w:val="51331326"/>
    <w:rsid w:val="51740A7F"/>
    <w:rsid w:val="51A5541E"/>
    <w:rsid w:val="51C96242"/>
    <w:rsid w:val="53906AE1"/>
    <w:rsid w:val="54F46F60"/>
    <w:rsid w:val="55A37BEA"/>
    <w:rsid w:val="56362CD2"/>
    <w:rsid w:val="5784687B"/>
    <w:rsid w:val="57846959"/>
    <w:rsid w:val="578E6A87"/>
    <w:rsid w:val="586017FE"/>
    <w:rsid w:val="5AC2203A"/>
    <w:rsid w:val="5CBB3334"/>
    <w:rsid w:val="5D115FAF"/>
    <w:rsid w:val="62811722"/>
    <w:rsid w:val="62E75A72"/>
    <w:rsid w:val="64571880"/>
    <w:rsid w:val="649125B6"/>
    <w:rsid w:val="652F4C1A"/>
    <w:rsid w:val="658A5276"/>
    <w:rsid w:val="666D37F1"/>
    <w:rsid w:val="67087D8F"/>
    <w:rsid w:val="671F687E"/>
    <w:rsid w:val="675D5FCC"/>
    <w:rsid w:val="67F415F8"/>
    <w:rsid w:val="682640D1"/>
    <w:rsid w:val="684B73E5"/>
    <w:rsid w:val="6A047A2A"/>
    <w:rsid w:val="6EFB7548"/>
    <w:rsid w:val="6F3831C3"/>
    <w:rsid w:val="6F8B71C1"/>
    <w:rsid w:val="70753482"/>
    <w:rsid w:val="707B522A"/>
    <w:rsid w:val="73194D05"/>
    <w:rsid w:val="73A83B0E"/>
    <w:rsid w:val="743D747E"/>
    <w:rsid w:val="744D3EF9"/>
    <w:rsid w:val="74794411"/>
    <w:rsid w:val="75867C40"/>
    <w:rsid w:val="75B10B26"/>
    <w:rsid w:val="76432199"/>
    <w:rsid w:val="76F44829"/>
    <w:rsid w:val="77A267C0"/>
    <w:rsid w:val="78882278"/>
    <w:rsid w:val="78B118A6"/>
    <w:rsid w:val="79135044"/>
    <w:rsid w:val="7A7D0F99"/>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99"/>
    <w:pPr>
      <w:jc w:val="center"/>
    </w:pPr>
    <w:rPr>
      <w:rFonts w:eastAsia="黑体"/>
      <w:sz w:val="36"/>
      <w:szCs w:val="20"/>
    </w:rPr>
  </w:style>
  <w:style w:type="paragraph" w:styleId="5">
    <w:name w:val="Balloon Text"/>
    <w:basedOn w:val="1"/>
    <w:link w:val="13"/>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customStyle="1" w:styleId="13">
    <w:name w:val="批注框文本 Char"/>
    <w:link w:val="5"/>
    <w:semiHidden/>
    <w:qFormat/>
    <w:uiPriority w:val="99"/>
    <w:rPr>
      <w:kern w:val="2"/>
      <w:sz w:val="18"/>
      <w:szCs w:val="18"/>
    </w:rPr>
  </w:style>
  <w:style w:type="character" w:customStyle="1" w:styleId="14">
    <w:name w:val="页脚 Char"/>
    <w:link w:val="6"/>
    <w:qFormat/>
    <w:uiPriority w:val="99"/>
    <w:rPr>
      <w:kern w:val="2"/>
      <w:sz w:val="18"/>
      <w:szCs w:val="18"/>
    </w:rPr>
  </w:style>
  <w:style w:type="character" w:customStyle="1" w:styleId="15">
    <w:name w:val="页眉 Char"/>
    <w:link w:val="7"/>
    <w:qFormat/>
    <w:uiPriority w:val="99"/>
    <w:rPr>
      <w:kern w:val="2"/>
      <w:sz w:val="18"/>
      <w:szCs w:val="18"/>
    </w:rPr>
  </w:style>
  <w:style w:type="character" w:customStyle="1" w:styleId="16">
    <w:name w:val="font01"/>
    <w:qFormat/>
    <w:uiPriority w:val="0"/>
    <w:rPr>
      <w:rFonts w:hint="eastAsia" w:ascii="宋体" w:hAnsi="宋体" w:eastAsia="宋体" w:cs="宋体"/>
      <w:color w:val="000000"/>
      <w:sz w:val="22"/>
      <w:szCs w:val="22"/>
      <w:u w:val="none"/>
    </w:rPr>
  </w:style>
  <w:style w:type="character" w:customStyle="1" w:styleId="17">
    <w:name w:val="font21"/>
    <w:qFormat/>
    <w:uiPriority w:val="0"/>
    <w:rPr>
      <w:rFonts w:hint="eastAsia" w:ascii="宋体" w:hAnsi="宋体" w:eastAsia="宋体" w:cs="宋体"/>
      <w:color w:val="000000"/>
      <w:sz w:val="22"/>
      <w:szCs w:val="22"/>
      <w:u w:val="none"/>
    </w:rPr>
  </w:style>
  <w:style w:type="character" w:customStyle="1" w:styleId="18">
    <w:name w:val="font51"/>
    <w:qFormat/>
    <w:uiPriority w:val="0"/>
    <w:rPr>
      <w:rFonts w:hint="eastAsia" w:ascii="宋体" w:hAnsi="宋体" w:eastAsia="宋体" w:cs="宋体"/>
      <w:color w:val="000000"/>
      <w:sz w:val="24"/>
      <w:szCs w:val="24"/>
      <w:u w:val="none"/>
    </w:rPr>
  </w:style>
  <w:style w:type="character" w:customStyle="1" w:styleId="19">
    <w:name w:val="font11"/>
    <w:qFormat/>
    <w:uiPriority w:val="0"/>
    <w:rPr>
      <w:rFonts w:hint="eastAsia" w:ascii="宋体" w:hAnsi="宋体" w:eastAsia="宋体" w:cs="宋体"/>
      <w:color w:val="000000"/>
      <w:sz w:val="20"/>
      <w:szCs w:val="20"/>
      <w:u w:val="none"/>
    </w:rPr>
  </w:style>
  <w:style w:type="character" w:customStyle="1" w:styleId="20">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8712</Words>
  <Characters>10428</Characters>
  <Lines>60</Lines>
  <Paragraphs>16</Paragraphs>
  <TotalTime>5</TotalTime>
  <ScaleCrop>false</ScaleCrop>
  <LinksUpToDate>false</LinksUpToDate>
  <CharactersWithSpaces>10643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2018-07-24T10:50:00Z</cp:lastPrinted>
  <dcterms:modified xsi:type="dcterms:W3CDTF">2022-09-06T08:27:27Z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D6FE59FED59F4DD9A06BEEDDDD9B032A</vt:lpwstr>
  </property>
</Properties>
</file>