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202</w:t>
      </w:r>
      <w:r>
        <w:rPr>
          <w:rFonts w:hint="eastAsia" w:ascii="黑体" w:hAnsi="黑体" w:eastAsia="黑体" w:cs="黑体"/>
          <w:sz w:val="52"/>
          <w:szCs w:val="52"/>
          <w:highlight w:val="none"/>
          <w:lang w:val="en-US" w:eastAsia="zh-CN"/>
        </w:rPr>
        <w:t>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rPr>
        <w:t>中共许昌市建安区委宣传部</w:t>
      </w:r>
      <w:r>
        <w:rPr>
          <w:rFonts w:hint="eastAsia" w:ascii="黑体" w:hAnsi="黑体" w:eastAsia="黑体" w:cs="黑体"/>
          <w:sz w:val="52"/>
          <w:szCs w:val="52"/>
          <w:highlight w:val="none"/>
          <w:lang w:eastAsia="zh-CN"/>
        </w:rPr>
        <w:t>（本级）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年九月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中共许昌市建安区委宣传部</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年度部门决算表</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一、收入支出决算总表</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二、收入决算表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202</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年度部门决算情况说明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八、预算绩效情况说明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十一、政府采购支出情况说明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十二、国有资产占用情况说明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宋体" w:hAnsi="宋体" w:cs="宋体"/>
          <w:sz w:val="32"/>
          <w:szCs w:val="32"/>
          <w:highlight w:val="none"/>
        </w:rPr>
      </w:pPr>
    </w:p>
    <w:p>
      <w:pPr>
        <w:jc w:val="left"/>
        <w:rPr>
          <w:rFonts w:hint="eastAsia" w:ascii="黑体" w:hAnsi="黑体" w:eastAsia="黑体" w:cs="黑体"/>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中共许昌市建安区委宣传部</w:t>
      </w: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一）贯彻落实党中央关于宣传思想文化、网络安全和信息化工作的方针政策和省委、市委、区委决策部署，拟订全区宣传思想文化事业发展规划，统筹协调推进宣传思想文化领域法治建设，按照区委统一部署，协调宣传思想文化系统各部门之间的工作。</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（二）贯彻落实党中央、省委、市委、区委关于意识形态工作的决策部署，统筹协调全区党的意识形态工作，组织协调意识形态工作责任制落实和日常监督检查，结合巡视巡察工作开展专项检查。</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（三）统筹指导协调全区的理论研究、理论学习和理论宣传工作，组织推动理论武装工作。</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四）负责规划组织全区思想政治工作，组织全区重大先进典型的选树、宣传、学习，配合区委组织部做好党员教育工作，指导协调编写党员教育教材，会同有关部门研究和改进群众思想教育工作，负责组织开展宣传思想文化系统人才工作和干部教育培训。</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（五）统筹分析研判和引导社会舆论，统筹指导协调监督管理全区新闻单位工作，组织全区突发公共事件应急新闻工作。</w:t>
      </w:r>
    </w:p>
    <w:p>
      <w:pPr>
        <w:ind w:firstLine="640" w:firstLineChars="200"/>
        <w:jc w:val="right"/>
        <w:rPr>
          <w:rFonts w:hint="eastAsia" w:ascii="仿宋_GB2312" w:hAnsi="仿宋_GB2312" w:eastAsia="仿宋_GB2312" w:cs="仿宋_GB2312"/>
          <w:kern w:val="0"/>
          <w:sz w:val="32"/>
          <w:szCs w:val="32"/>
          <w:highlight w:val="none"/>
          <w:lang w:eastAsia="zh-CN"/>
        </w:rPr>
      </w:pPr>
      <w:r>
        <w:rPr>
          <w:rFonts w:ascii="仿宋_GB2312" w:hAnsi="仿宋_GB2312" w:eastAsia="仿宋_GB2312" w:cs="仿宋_GB2312"/>
          <w:kern w:val="0"/>
          <w:sz w:val="32"/>
          <w:szCs w:val="32"/>
          <w:highlight w:val="none"/>
        </w:rPr>
        <w:t>（六）拟订全区新闻出版业的规范性文件并督促落实，管理新闻出版行政事务，组织协调有关行政审批工作。统筹规划和指导协调新闻出版事业、产业发展，监督管理出版物内容和质量，监督管理印刷业，管理著作权，管理出版物进出口等。负责全区新闻记者证的监督管理。组织指导协调</w:t>
      </w:r>
      <w:r>
        <w:rPr>
          <w:rFonts w:hint="eastAsia" w:ascii="仿宋_GB2312" w:hAnsi="仿宋_GB2312" w:eastAsia="仿宋_GB2312" w:cs="仿宋_GB2312"/>
          <w:kern w:val="0"/>
          <w:sz w:val="32"/>
          <w:szCs w:val="32"/>
          <w:highlight w:val="none"/>
          <w:lang w:eastAsia="zh-CN"/>
        </w:rPr>
        <w:t>。</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（七）统筹指导协调互联网宣传和信息内容管理工作。统筹协调融媒体的建设与管理。</w:t>
      </w:r>
    </w:p>
    <w:p>
      <w:pPr>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 xml:space="preserve">    （八）统筹指导协调推动精神文化产品的创作和生产，协调组织优秀传统文化传承发展有关工作，指导协调推动群众文化建设。</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（九）负责管理电影行政事务，指导监管电影制片、发行、放映工作，组织对电影内容进行审查，指导协调重大电影活动。</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（十）对新闻出版、广播影视、文化艺术业改革发展研究提出相关建议，统筹指导协调文化体制改革和文化事业、文化产业及旅游业发展，指导协调国有文化企业监督管理工作。</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（十一）统筹指导舆情信息工作，组织协调开展全区舆情信息收集分析研判工作，跟踪了解、研究掌握宣传舆情动态。</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（十二）统筹协调全区对外宣传工作，指导协调有关部门研究拟订对外宣传工作相关措施和对外宣传事业发展规划。指导对外文化交流工作。会同有关部门做好境外媒体记者在全区采访的服务引导工作。</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（十三）统筹协调组织开展新闻发布工作，承担区委新闻发布有关组织协调工作，负责区政府新闻发布组织实施工作，指导协调区直各部门和各乡镇（街道）的新闻发布工作，推动新闻发言人制度建设。</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（十四）贯彻落实党中央关于加强社会主义精神文明建设的方针政策和省委、市委、区委有关部署，在</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区精神文明建设指导委员会指导下统筹协调、指导推动全区精神文明建设工作，组织开展全区群众性精神文明创建活动，评选表彰精神文明建设先进典型，总结推广先进经验。</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五）研究拟订全区网络安全和信息化发展的有关规范性文件和规划；统筹推进网络安全和信息化领域国家标准的组织实施；依法履行全区网络安全和信息化行政管理职能。负责全区互联网信息内容管理，统筹协调组织互联网宣传管理和舆论引导工作，维护网络意识形态安全。</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（十六）指导协调</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区文联、</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区文化广电和旅游局，对</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区新闻信息中心实施领导。</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（十七）完成区委交办的其他任务。</w:t>
      </w:r>
    </w:p>
    <w:p>
      <w:pPr>
        <w:spacing w:line="600" w:lineRule="exact"/>
        <w:ind w:firstLine="640" w:firstLineChars="200"/>
        <w:rPr>
          <w:rFonts w:hint="eastAsia" w:ascii="仿宋_GB2312" w:hAnsi="宋体" w:eastAsia="仿宋_GB2312" w:cs="宋体"/>
          <w:kern w:val="0"/>
          <w:sz w:val="32"/>
          <w:szCs w:val="32"/>
          <w:highlight w:val="none"/>
        </w:rPr>
      </w:pPr>
      <w:r>
        <w:rPr>
          <w:rFonts w:ascii="仿宋_GB2312" w:hAnsi="仿宋_GB2312" w:eastAsia="仿宋_GB2312" w:cs="仿宋_GB2312"/>
          <w:kern w:val="0"/>
          <w:sz w:val="32"/>
          <w:szCs w:val="32"/>
          <w:highlight w:val="none"/>
        </w:rPr>
        <w:t>（十八）有关职责分工。区委宣传部负责对出版环节的动漫、游戏出版物的网上出版发行进行管理。</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区文化广电和旅游局负责动漫和网络游戏相关产业规划、产业基地、项目建设、会展交易和市场监管，负责对影视动漫和网络视听节目中的动漫节目进行管理</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中共许昌市建安区</w:t>
      </w:r>
      <w:r>
        <w:rPr>
          <w:rFonts w:hint="eastAsia" w:ascii="仿宋_GB2312" w:hAnsi="仿宋_GB2312" w:eastAsia="仿宋_GB2312" w:cs="仿宋_GB2312"/>
          <w:kern w:val="0"/>
          <w:sz w:val="32"/>
          <w:szCs w:val="32"/>
          <w:highlight w:val="none"/>
          <w:lang w:eastAsia="zh-CN"/>
        </w:rPr>
        <w:t>委</w:t>
      </w:r>
      <w:r>
        <w:rPr>
          <w:rFonts w:hint="eastAsia" w:ascii="仿宋_GB2312" w:hAnsi="仿宋_GB2312" w:eastAsia="仿宋_GB2312" w:cs="仿宋_GB2312"/>
          <w:kern w:val="0"/>
          <w:sz w:val="32"/>
          <w:szCs w:val="32"/>
          <w:highlight w:val="none"/>
        </w:rPr>
        <w:t>宣传部</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kern w:val="0"/>
          <w:sz w:val="32"/>
          <w:szCs w:val="32"/>
          <w:highlight w:val="none"/>
        </w:rPr>
        <w:t>内设机构6个，包括：</w:t>
      </w:r>
      <w:r>
        <w:rPr>
          <w:rFonts w:ascii="仿宋_GB2312" w:hAnsi="仿宋_GB2312" w:eastAsia="仿宋_GB2312" w:cs="仿宋_GB2312"/>
          <w:kern w:val="0"/>
          <w:sz w:val="32"/>
          <w:szCs w:val="32"/>
          <w:highlight w:val="none"/>
        </w:rPr>
        <w:t>办公室</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宣教股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理论股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新闻股</w:t>
      </w:r>
      <w:r>
        <w:rPr>
          <w:rFonts w:hint="eastAsia" w:ascii="仿宋_GB2312" w:hAnsi="仿宋_GB2312" w:eastAsia="仿宋_GB2312" w:cs="仿宋_GB2312"/>
          <w:kern w:val="0"/>
          <w:sz w:val="32"/>
          <w:szCs w:val="32"/>
          <w:highlight w:val="none"/>
        </w:rPr>
        <w:t>、新闻出版管理和</w:t>
      </w:r>
      <w:r>
        <w:rPr>
          <w:rFonts w:ascii="仿宋_GB2312" w:hAnsi="仿宋_GB2312" w:eastAsia="仿宋_GB2312" w:cs="仿宋_GB2312"/>
          <w:kern w:val="0"/>
          <w:sz w:val="32"/>
          <w:szCs w:val="32"/>
          <w:highlight w:val="none"/>
        </w:rPr>
        <w:t>文教股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对外宣传办公室</w:t>
      </w:r>
      <w:r>
        <w:rPr>
          <w:rFonts w:hint="eastAsia" w:ascii="仿宋_GB2312" w:hAnsi="仿宋_GB2312" w:eastAsia="仿宋_GB2312" w:cs="仿宋_GB2312"/>
          <w:kern w:val="0"/>
          <w:sz w:val="32"/>
          <w:szCs w:val="32"/>
          <w:highlight w:val="none"/>
        </w:rPr>
        <w:t>。二级</w:t>
      </w:r>
      <w:r>
        <w:rPr>
          <w:rFonts w:ascii="仿宋_GB2312" w:hAnsi="仿宋_GB2312" w:eastAsia="仿宋_GB2312" w:cs="仿宋_GB2312"/>
          <w:kern w:val="0"/>
          <w:sz w:val="32"/>
          <w:szCs w:val="32"/>
          <w:highlight w:val="none"/>
        </w:rPr>
        <w:t>单位两个，分别是</w:t>
      </w:r>
      <w:r>
        <w:rPr>
          <w:rFonts w:hint="eastAsia" w:ascii="仿宋_GB2312" w:hAnsi="仿宋_GB2312" w:eastAsia="仿宋_GB2312" w:cs="仿宋_GB2312"/>
          <w:sz w:val="32"/>
          <w:szCs w:val="32"/>
          <w:highlight w:val="none"/>
        </w:rPr>
        <w:t>许昌市建安区精神文明建设指导委员会办公室、许昌市建安区新闻信息中心。</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从决算单位构成看，中共许昌市建安区</w:t>
      </w:r>
      <w:r>
        <w:rPr>
          <w:rFonts w:hint="eastAsia" w:ascii="仿宋_GB2312" w:hAnsi="仿宋_GB2312" w:eastAsia="仿宋_GB2312" w:cs="仿宋_GB2312"/>
          <w:kern w:val="0"/>
          <w:sz w:val="32"/>
          <w:szCs w:val="32"/>
          <w:highlight w:val="none"/>
          <w:lang w:eastAsia="zh-CN"/>
        </w:rPr>
        <w:t>委</w:t>
      </w:r>
      <w:r>
        <w:rPr>
          <w:rFonts w:hint="eastAsia" w:ascii="仿宋_GB2312" w:hAnsi="仿宋_GB2312" w:eastAsia="仿宋_GB2312" w:cs="仿宋_GB2312"/>
          <w:kern w:val="0"/>
          <w:sz w:val="32"/>
          <w:szCs w:val="32"/>
          <w:highlight w:val="none"/>
        </w:rPr>
        <w:t>宣传部</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kern w:val="0"/>
          <w:sz w:val="32"/>
          <w:szCs w:val="32"/>
          <w:highlight w:val="none"/>
        </w:rPr>
        <w:t>部门决算包括本级决算。</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w:t>
      </w:r>
      <w:r>
        <w:rPr>
          <w:rFonts w:hint="eastAsia" w:ascii="黑体" w:hAnsi="黑体" w:eastAsia="黑体" w:cs="黑体"/>
          <w:sz w:val="48"/>
          <w:szCs w:val="48"/>
          <w:highlight w:val="none"/>
          <w:lang w:val="en-US" w:eastAsia="zh-CN"/>
        </w:rPr>
        <w:t>1</w:t>
      </w:r>
      <w:r>
        <w:rPr>
          <w:rFonts w:hint="eastAsia" w:ascii="黑体" w:hAnsi="黑体" w:eastAsia="黑体" w:cs="黑体"/>
          <w:sz w:val="48"/>
          <w:szCs w:val="48"/>
          <w:highlight w:val="none"/>
        </w:rPr>
        <w:t>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10"/>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5"/>
        <w:gridCol w:w="814"/>
        <w:gridCol w:w="1087"/>
        <w:gridCol w:w="4364"/>
        <w:gridCol w:w="81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222"/>
        <w:gridCol w:w="222"/>
        <w:gridCol w:w="2416"/>
        <w:gridCol w:w="1042"/>
        <w:gridCol w:w="1243"/>
        <w:gridCol w:w="849"/>
        <w:gridCol w:w="849"/>
        <w:gridCol w:w="849"/>
        <w:gridCol w:w="84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7"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68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68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9"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3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3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3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3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5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68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68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68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1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814.00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814.00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6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222"/>
        <w:gridCol w:w="222"/>
        <w:gridCol w:w="2416"/>
        <w:gridCol w:w="1266"/>
        <w:gridCol w:w="1358"/>
        <w:gridCol w:w="1361"/>
        <w:gridCol w:w="848"/>
        <w:gridCol w:w="848"/>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2"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2"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1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1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1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3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33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76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814.00</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666.85</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147.15</w:t>
            </w: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w:t>
            </w:r>
          </w:p>
        </w:tc>
      </w:tr>
    </w:tbl>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7"/>
        <w:gridCol w:w="494"/>
        <w:gridCol w:w="1239"/>
        <w:gridCol w:w="3448"/>
        <w:gridCol w:w="494"/>
        <w:gridCol w:w="850"/>
        <w:gridCol w:w="1236"/>
        <w:gridCol w:w="1032"/>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1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1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56"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043"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55"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21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29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3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5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5"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69"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12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814.00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1"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578" w:type="pct"/>
            <w:tcBorders>
              <w:top w:val="nil"/>
              <w:left w:val="nil"/>
              <w:bottom w:val="nil"/>
              <w:right w:val="nil"/>
            </w:tcBorders>
            <w:noWrap/>
            <w:vAlign w:val="center"/>
          </w:tcPr>
          <w:p>
            <w:pPr>
              <w:jc w:val="left"/>
              <w:rPr>
                <w:rFonts w:hint="eastAsia" w:ascii="宋体" w:hAnsi="宋体" w:eastAsia="宋体" w:cs="宋体"/>
                <w:i w:val="0"/>
                <w:iCs w:val="0"/>
                <w:color w:val="000000"/>
                <w:sz w:val="20"/>
                <w:szCs w:val="20"/>
                <w:highlight w:val="none"/>
                <w:u w:val="none"/>
              </w:rPr>
            </w:pPr>
          </w:p>
        </w:tc>
      </w:tr>
    </w:tbl>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6"/>
        <w:gridCol w:w="266"/>
        <w:gridCol w:w="272"/>
        <w:gridCol w:w="2934"/>
        <w:gridCol w:w="1602"/>
        <w:gridCol w:w="1602"/>
        <w:gridCol w:w="2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20"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3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2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2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3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2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4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05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03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5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92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9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2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2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4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4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814.00</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666.85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799.88</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652.73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3248"/>
        <w:gridCol w:w="822"/>
        <w:gridCol w:w="721"/>
        <w:gridCol w:w="2237"/>
        <w:gridCol w:w="822"/>
        <w:gridCol w:w="722"/>
        <w:gridCol w:w="4058"/>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13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5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5"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5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26"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1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8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4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8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424.36</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216.94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107.75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63.33</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11.79</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163.29</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14.27</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13.71</w:t>
            </w: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13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8.63</w:t>
            </w: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5"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440.30</w:t>
            </w:r>
          </w:p>
        </w:tc>
        <w:tc>
          <w:tcPr>
            <w:tcW w:w="2990"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226.55</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1088"/>
        <w:gridCol w:w="879"/>
        <w:gridCol w:w="652"/>
        <w:gridCol w:w="881"/>
        <w:gridCol w:w="660"/>
        <w:gridCol w:w="879"/>
        <w:gridCol w:w="1088"/>
        <w:gridCol w:w="879"/>
        <w:gridCol w:w="653"/>
        <w:gridCol w:w="882"/>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6"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2186"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947"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26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34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947"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4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8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26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4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7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222"/>
        <w:gridCol w:w="222"/>
        <w:gridCol w:w="1096"/>
        <w:gridCol w:w="1331"/>
        <w:gridCol w:w="1417"/>
        <w:gridCol w:w="1418"/>
        <w:gridCol w:w="1418"/>
        <w:gridCol w:w="141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35"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6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35"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部门：中共许昌市建安区委宣传部（本级）</w:t>
            </w:r>
          </w:p>
        </w:tc>
        <w:tc>
          <w:tcPr>
            <w:tcW w:w="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6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6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1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51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1548"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56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36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5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3"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p>
      <w:pPr>
        <w:jc w:val="center"/>
        <w:rPr>
          <w:rFonts w:ascii="仿宋_GB2312" w:hAnsi="仿宋_GB2312" w:eastAsia="仿宋_GB2312" w:cs="仿宋_GB2312"/>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w:t>
      </w:r>
      <w:r>
        <w:rPr>
          <w:rFonts w:hint="eastAsia" w:ascii="黑体" w:hAnsi="黑体" w:eastAsia="黑体" w:cs="黑体"/>
          <w:sz w:val="48"/>
          <w:szCs w:val="48"/>
          <w:highlight w:val="none"/>
          <w:lang w:val="en-US" w:eastAsia="zh-CN"/>
        </w:rPr>
        <w:t>1</w:t>
      </w:r>
      <w:r>
        <w:rPr>
          <w:rFonts w:hint="eastAsia" w:ascii="黑体" w:hAnsi="黑体" w:eastAsia="黑体" w:cs="黑体"/>
          <w:sz w:val="48"/>
          <w:szCs w:val="48"/>
          <w:highlight w:val="none"/>
        </w:rPr>
        <w:t>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1.75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人员经费减少，响应号召，压减经费开支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万元，占1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666.85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81.92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147.15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18.08%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1.75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人员经费减少，响应号召，压减经费开支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万元，占本年支出合计的1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13.29万元，下降1.61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响应号召，压减经费开支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799.88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98.27</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14.12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1.73</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年度一般公共预算财政拨款支出年初预算为</w:t>
      </w:r>
      <w:r>
        <w:rPr>
          <w:rFonts w:hint="eastAsia" w:ascii="仿宋_GB2312" w:hAnsi="仿宋_GB2312" w:eastAsia="仿宋_GB2312" w:cs="仿宋_GB2312"/>
          <w:sz w:val="32"/>
          <w:szCs w:val="32"/>
          <w:highlight w:val="none"/>
          <w:lang w:val="en-US" w:eastAsia="zh-CN"/>
        </w:rPr>
        <w:t>567.41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814.00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143.46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．一般公共服务支出（类）宣传事务（款）行政运行（项）。</w:t>
      </w:r>
      <w:r>
        <w:rPr>
          <w:rFonts w:hint="eastAsia" w:ascii="仿宋_GB2312" w:hAnsi="仿宋_GB2312" w:eastAsia="仿宋_GB2312" w:cs="仿宋_GB2312"/>
          <w:sz w:val="32"/>
          <w:szCs w:val="32"/>
          <w:highlight w:val="none"/>
        </w:rPr>
        <w:t>年初预算</w:t>
      </w:r>
      <w:r>
        <w:rPr>
          <w:rFonts w:hint="eastAsia" w:ascii="仿宋_GB2312" w:hAnsi="仿宋_GB2312" w:eastAsia="仿宋_GB2312" w:cs="仿宋_GB2312"/>
          <w:sz w:val="32"/>
          <w:szCs w:val="32"/>
          <w:highlight w:val="none"/>
          <w:lang w:val="en-US" w:eastAsia="zh-CN"/>
        </w:rPr>
        <w:t>555.28</w:t>
      </w:r>
      <w:r>
        <w:rPr>
          <w:rFonts w:hint="eastAsia" w:ascii="仿宋_GB2312" w:hAnsi="仿宋_GB2312" w:eastAsia="仿宋_GB2312" w:cs="仿宋_GB2312"/>
          <w:sz w:val="32"/>
          <w:szCs w:val="32"/>
          <w:highlight w:val="none"/>
        </w:rPr>
        <w:t>万元，支出</w:t>
      </w:r>
      <w:bookmarkStart w:id="0" w:name="_GoBack"/>
      <w:bookmarkEnd w:id="0"/>
      <w:r>
        <w:rPr>
          <w:rFonts w:hint="eastAsia" w:ascii="仿宋_GB2312" w:hAnsi="仿宋_GB2312" w:eastAsia="仿宋_GB2312" w:cs="仿宋_GB2312"/>
          <w:sz w:val="32"/>
          <w:szCs w:val="32"/>
          <w:highlight w:val="none"/>
        </w:rPr>
        <w:t>决算为</w:t>
      </w:r>
      <w:r>
        <w:rPr>
          <w:rFonts w:hint="eastAsia" w:ascii="仿宋_GB2312" w:hAnsi="仿宋_GB2312" w:eastAsia="仿宋_GB2312" w:cs="仿宋_GB2312"/>
          <w:sz w:val="32"/>
          <w:szCs w:val="32"/>
          <w:highlight w:val="none"/>
          <w:lang w:val="en-US" w:eastAsia="zh-CN"/>
        </w:rPr>
        <w:t>799.88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，完成年初预算的</w:t>
      </w:r>
      <w:r>
        <w:rPr>
          <w:rFonts w:hint="eastAsia" w:ascii="仿宋_GB2312" w:hAnsi="仿宋_GB2312" w:eastAsia="仿宋_GB2312" w:cs="仿宋_GB2312"/>
          <w:sz w:val="32"/>
          <w:szCs w:val="32"/>
          <w:highlight w:val="none"/>
          <w:lang w:val="en-US" w:eastAsia="zh-CN"/>
        </w:rPr>
        <w:t>144.05%</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人员工资标准提高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黑体" w:hAnsi="黑体" w:eastAsia="黑体" w:cs="黑体"/>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14.12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116.41</w:t>
      </w:r>
      <w:r>
        <w:rPr>
          <w:rFonts w:hint="eastAsia" w:ascii="仿宋_GB2312" w:hAnsi="仿宋_GB2312" w:eastAsia="仿宋_GB2312" w:cs="仿宋_GB2312"/>
          <w:sz w:val="32"/>
          <w:szCs w:val="32"/>
          <w:highlight w:val="none"/>
        </w:rPr>
        <w:t>%。决算数与年初预算数存在差异的主要原因是2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1年退休人员增加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666.85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440.3</w:t>
      </w:r>
      <w:r>
        <w:rPr>
          <w:rFonts w:hint="eastAsia" w:ascii="仿宋_GB2312" w:hAnsi="仿宋_GB2312" w:eastAsia="仿宋_GB2312" w:cs="仿宋_GB2312"/>
          <w:sz w:val="32"/>
          <w:szCs w:val="32"/>
          <w:highlight w:val="none"/>
        </w:rPr>
        <w:t>万元，主要包括：基本工资、津贴补贴、奖金、机关事业单位基本养老保险缴费、职工基本医疗保险缴费、其他社会保障缴费、住房公积金、</w:t>
      </w:r>
      <w:r>
        <w:rPr>
          <w:rFonts w:hint="eastAsia" w:ascii="仿宋_GB2312" w:hAnsi="仿宋_GB2312" w:eastAsia="仿宋_GB2312" w:cs="仿宋_GB2312"/>
          <w:sz w:val="32"/>
          <w:szCs w:val="32"/>
          <w:highlight w:val="none"/>
          <w:lang w:eastAsia="zh-CN"/>
        </w:rPr>
        <w:t>医疗费、</w:t>
      </w:r>
      <w:r>
        <w:rPr>
          <w:rFonts w:hint="eastAsia" w:ascii="仿宋_GB2312" w:hAnsi="仿宋_GB2312" w:eastAsia="仿宋_GB2312" w:cs="仿宋_GB2312"/>
          <w:sz w:val="32"/>
          <w:szCs w:val="32"/>
          <w:highlight w:val="none"/>
        </w:rPr>
        <w:t>退休费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生活补助；公用经费</w:t>
      </w:r>
      <w:r>
        <w:rPr>
          <w:rFonts w:hint="eastAsia" w:ascii="仿宋_GB2312" w:hAnsi="仿宋_GB2312" w:eastAsia="仿宋_GB2312" w:cs="仿宋_GB2312"/>
          <w:sz w:val="32"/>
          <w:szCs w:val="32"/>
          <w:highlight w:val="none"/>
          <w:lang w:val="en-US" w:eastAsia="zh-CN"/>
        </w:rPr>
        <w:t>226.55</w:t>
      </w:r>
      <w:r>
        <w:rPr>
          <w:rFonts w:hint="eastAsia" w:ascii="仿宋_GB2312" w:hAnsi="仿宋_GB2312" w:eastAsia="仿宋_GB2312" w:cs="仿宋_GB2312"/>
          <w:sz w:val="32"/>
          <w:szCs w:val="32"/>
          <w:highlight w:val="none"/>
        </w:rPr>
        <w:t>万元，主要包括：办公费、印刷费、邮电费、差旅费、维修（护）费、租赁费、劳务费、委托业务费、公务用车运行维护费、其他交通费用、其他商品和服务支出、办公设备购置。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年度“三公”经费财政拨款支出预算为</w:t>
      </w:r>
      <w:r>
        <w:rPr>
          <w:rFonts w:ascii="仿宋_GB2312" w:hAnsi="仿宋_GB2312" w:eastAsia="仿宋_GB2312" w:cs="仿宋_GB2312"/>
          <w:sz w:val="32"/>
          <w:szCs w:val="32"/>
          <w:highlight w:val="none"/>
        </w:rPr>
        <w:t>1.35</w:t>
      </w:r>
      <w:r>
        <w:rPr>
          <w:rFonts w:hint="eastAsia" w:ascii="仿宋_GB2312" w:hAnsi="仿宋_GB2312" w:eastAsia="仿宋_GB2312" w:cs="仿宋_GB2312"/>
          <w:sz w:val="32"/>
          <w:szCs w:val="32"/>
          <w:highlight w:val="none"/>
        </w:rPr>
        <w:t>万元，支出决算为1</w:t>
      </w:r>
      <w:r>
        <w:rPr>
          <w:rFonts w:ascii="仿宋_GB2312" w:hAnsi="仿宋_GB2312" w:eastAsia="仿宋_GB2312" w:cs="仿宋_GB2312"/>
          <w:sz w:val="32"/>
          <w:szCs w:val="32"/>
          <w:highlight w:val="none"/>
        </w:rPr>
        <w:t>.35</w:t>
      </w:r>
      <w:r>
        <w:rPr>
          <w:rFonts w:hint="eastAsia" w:ascii="仿宋_GB2312" w:hAnsi="仿宋_GB2312" w:eastAsia="仿宋_GB2312" w:cs="仿宋_GB2312"/>
          <w:sz w:val="32"/>
          <w:szCs w:val="32"/>
          <w:highlight w:val="none"/>
        </w:rPr>
        <w:t>万元，完成预算的1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决算数与预算数无差异。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年度“三公”经费财政拨款支出决算中，因公出国（境）费支出决算0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完成预算的0.00%，占0.00%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万元，完成预算的1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%，占1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%；公务接待费支出决算0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完成预算的0.00%，占0.00%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万元，支出决算为0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预算为1</w:t>
      </w:r>
      <w:r>
        <w:rPr>
          <w:rFonts w:ascii="仿宋_GB2312" w:hAnsi="仿宋_GB2312" w:eastAsia="仿宋_GB2312" w:cs="仿宋_GB2312"/>
          <w:sz w:val="32"/>
          <w:szCs w:val="32"/>
          <w:highlight w:val="none"/>
        </w:rPr>
        <w:t>.35</w:t>
      </w:r>
      <w:r>
        <w:rPr>
          <w:rFonts w:hint="eastAsia" w:ascii="仿宋_GB2312" w:hAnsi="仿宋_GB2312" w:eastAsia="仿宋_GB2312" w:cs="仿宋_GB2312"/>
          <w:sz w:val="32"/>
          <w:szCs w:val="32"/>
          <w:highlight w:val="none"/>
        </w:rPr>
        <w:t>万元，支出决算为1</w:t>
      </w:r>
      <w:r>
        <w:rPr>
          <w:rFonts w:ascii="仿宋_GB2312" w:hAnsi="仿宋_GB2312" w:eastAsia="仿宋_GB2312" w:cs="仿宋_GB2312"/>
          <w:sz w:val="32"/>
          <w:szCs w:val="32"/>
          <w:highlight w:val="none"/>
        </w:rPr>
        <w:t>.35</w:t>
      </w:r>
      <w:r>
        <w:rPr>
          <w:rFonts w:hint="eastAsia" w:ascii="仿宋_GB2312" w:hAnsi="仿宋_GB2312" w:eastAsia="仿宋_GB2312" w:cs="仿宋_GB2312"/>
          <w:sz w:val="32"/>
          <w:szCs w:val="32"/>
          <w:highlight w:val="none"/>
        </w:rPr>
        <w:t>万元，完成预算的1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万元，购置车辆0辆。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.35</w:t>
      </w:r>
      <w:r>
        <w:rPr>
          <w:rFonts w:hint="eastAsia" w:ascii="仿宋_GB2312" w:hAnsi="仿宋_GB2312" w:eastAsia="仿宋_GB2312" w:cs="仿宋_GB2312"/>
          <w:sz w:val="32"/>
          <w:szCs w:val="32"/>
          <w:highlight w:val="none"/>
        </w:rPr>
        <w:t>万元。主要用于我单位公务用车</w:t>
      </w:r>
      <w:r>
        <w:rPr>
          <w:rFonts w:ascii="仿宋_GB2312" w:hAnsi="仿宋_GB2312" w:eastAsia="仿宋_GB2312" w:cs="仿宋_GB2312"/>
          <w:sz w:val="32"/>
          <w:szCs w:val="32"/>
          <w:highlight w:val="none"/>
        </w:rPr>
        <w:t>的日常维修保养、保险等开支</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年期末，部门开支财政拨款的公务用车保有量为1辆。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万元，支出决算为0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决算数与预算数无差异。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rPr>
        <w:t>0.00万元。202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rPr>
        <w:t>0</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2021年度机关运行经费年初预算为19.45万元，支出决算为226.55万元，完成预算的1164.78%。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color w:val="000000"/>
          <w:sz w:val="32"/>
          <w:szCs w:val="32"/>
          <w:highlight w:val="none"/>
        </w:rPr>
        <w:t>正常运转及正常履职需要的办公费、日常维修、差旅费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其他支出</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部门（单位）整体支出和项目支出开展全过程预算绩效管理。2021年我单位纳入预算绩效管理的支出总额为814.00万元，其中：基本支出666.85万元；支出项目9个，支出金额147.15万元。开展项目绩效自评项目9个，自评金额147.15万元；纳入重点绩效评价9个，评价金额147.15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《许昌市建安区财政局关于开展2021年度区级预算项目绩效自评工作的通知》（建安财效〔2022〕2号）等文件精神，我单位对本单位整体绩效目标和项目支出绩效目标进行了自评。  一是单位整体绩效自评情况。</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中共许昌市建安</w:t>
      </w:r>
      <w:r>
        <w:rPr>
          <w:rFonts w:hint="eastAsia" w:ascii="仿宋_GB2312" w:hAnsi="仿宋_GB2312" w:eastAsia="仿宋_GB2312" w:cs="仿宋_GB2312"/>
          <w:sz w:val="32"/>
          <w:szCs w:val="32"/>
          <w:highlight w:val="none"/>
        </w:rPr>
        <w:t>区委宣传部</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sz w:val="32"/>
          <w:szCs w:val="32"/>
          <w:highlight w:val="none"/>
        </w:rPr>
        <w:t>资金来源于财政拨款。资金主要用于办案。项目所有开支均按照我单位财务管理制度和绩效管理制度执行，遵守相关法律法规和业务管理规定，手续完备，及时收集相关资料并归档，确保统计各项工作正常运转。无截留、无挤占、挪用，确保专款专用。绩效管理工作职能和职责分工明确，整体工作成果和风采宣传到位。根据实际工作情况，逐步完善各项制度。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年在各部门的共同努力下，实现绩效目标，圆满地完成了各项任务。</w:t>
      </w:r>
      <w:r>
        <w:rPr>
          <w:rFonts w:hint="eastAsia" w:ascii="仿宋_GB2312" w:hAnsi="仿宋_GB2312" w:eastAsia="仿宋_GB2312" w:cs="仿宋_GB2312"/>
          <w:color w:val="auto"/>
          <w:sz w:val="32"/>
          <w:szCs w:val="32"/>
          <w:highlight w:val="none"/>
          <w:lang w:val="en-US" w:eastAsia="zh-CN"/>
        </w:rPr>
        <w:t>二是项目绩效自评情况。我单位共有9个项目批复了绩效目标。其中：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中共许昌市建安</w:t>
      </w:r>
      <w:r>
        <w:rPr>
          <w:rFonts w:hint="eastAsia" w:ascii="仿宋_GB2312" w:hAnsi="仿宋_GB2312" w:eastAsia="仿宋_GB2312" w:cs="仿宋_GB2312"/>
          <w:sz w:val="32"/>
          <w:szCs w:val="32"/>
          <w:highlight w:val="none"/>
        </w:rPr>
        <w:t>区委宣传部</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color w:val="auto"/>
          <w:sz w:val="32"/>
          <w:szCs w:val="32"/>
          <w:highlight w:val="none"/>
          <w:lang w:val="en-US" w:eastAsia="zh-CN"/>
        </w:rPr>
        <w:t>9个。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 1个项目评价等级为“优”、4个项目评价等级为“良”、4个项目评价等级为“中”。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yellow"/>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OP2M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1LSiw3OPDT3e3pz/3p729S&#10;Fh/eJ4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U4/YzAEAAJwDAAAOAAAAAAAAAAEAIAAAAB4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172A27"/>
    <w:rsid w:val="00080C25"/>
    <w:rsid w:val="000E0E88"/>
    <w:rsid w:val="001B3B24"/>
    <w:rsid w:val="00297EA8"/>
    <w:rsid w:val="00343679"/>
    <w:rsid w:val="00344634"/>
    <w:rsid w:val="0039072A"/>
    <w:rsid w:val="00391773"/>
    <w:rsid w:val="00412C29"/>
    <w:rsid w:val="005F4AAA"/>
    <w:rsid w:val="00693F5A"/>
    <w:rsid w:val="006B2C11"/>
    <w:rsid w:val="006B70A6"/>
    <w:rsid w:val="0087296F"/>
    <w:rsid w:val="008F3EB6"/>
    <w:rsid w:val="00906F5C"/>
    <w:rsid w:val="009210B5"/>
    <w:rsid w:val="00A829EE"/>
    <w:rsid w:val="00AD34DE"/>
    <w:rsid w:val="00B17B5D"/>
    <w:rsid w:val="00B36E2C"/>
    <w:rsid w:val="00B447FF"/>
    <w:rsid w:val="00C3156A"/>
    <w:rsid w:val="00C36711"/>
    <w:rsid w:val="00CB5F27"/>
    <w:rsid w:val="00E1414A"/>
    <w:rsid w:val="00E23695"/>
    <w:rsid w:val="00FB0FBB"/>
    <w:rsid w:val="049C1F9F"/>
    <w:rsid w:val="0A812DF2"/>
    <w:rsid w:val="182205B5"/>
    <w:rsid w:val="1CC57D5F"/>
    <w:rsid w:val="290400D2"/>
    <w:rsid w:val="3C3F1507"/>
    <w:rsid w:val="3E6B40B8"/>
    <w:rsid w:val="42004D0A"/>
    <w:rsid w:val="49971226"/>
    <w:rsid w:val="499F6939"/>
    <w:rsid w:val="4ECE5F17"/>
    <w:rsid w:val="56C45D4B"/>
    <w:rsid w:val="58326AFE"/>
    <w:rsid w:val="58377825"/>
    <w:rsid w:val="58ED5D12"/>
    <w:rsid w:val="63704830"/>
    <w:rsid w:val="6B8928BE"/>
    <w:rsid w:val="7B4425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jc w:val="center"/>
    </w:pPr>
    <w:rPr>
      <w:rFonts w:eastAsia="黑体"/>
      <w:sz w:val="36"/>
      <w:szCs w:val="20"/>
    </w:rPr>
  </w:style>
  <w:style w:type="paragraph" w:styleId="5">
    <w:name w:val="Balloon Text"/>
    <w:basedOn w:val="1"/>
    <w:link w:val="15"/>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Body Text First Indent"/>
    <w:basedOn w:val="4"/>
    <w:qFormat/>
    <w:uiPriority w:val="99"/>
    <w:pPr>
      <w:ind w:firstLine="420" w:firstLineChars="100"/>
    </w:p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qFormat/>
    <w:uiPriority w:val="0"/>
    <w:rPr>
      <w:vertAlign w:val="superscript"/>
    </w:rPr>
  </w:style>
  <w:style w:type="character" w:customStyle="1" w:styleId="15">
    <w:name w:val="批注框文本 字符"/>
    <w:link w:val="5"/>
    <w:qFormat/>
    <w:uiPriority w:val="0"/>
    <w:rPr>
      <w:kern w:val="2"/>
      <w:sz w:val="18"/>
      <w:szCs w:val="18"/>
    </w:rPr>
  </w:style>
  <w:style w:type="character" w:customStyle="1" w:styleId="16">
    <w:name w:val="页脚 字符"/>
    <w:link w:val="6"/>
    <w:qFormat/>
    <w:uiPriority w:val="0"/>
    <w:rPr>
      <w:kern w:val="2"/>
      <w:sz w:val="18"/>
      <w:szCs w:val="18"/>
    </w:rPr>
  </w:style>
  <w:style w:type="character" w:customStyle="1" w:styleId="17">
    <w:name w:val="页眉 字符"/>
    <w:link w:val="7"/>
    <w:qFormat/>
    <w:uiPriority w:val="0"/>
    <w:rPr>
      <w:kern w:val="2"/>
      <w:sz w:val="18"/>
      <w:szCs w:val="18"/>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41"/>
    <w:uiPriority w:val="0"/>
    <w:rPr>
      <w:rFonts w:hint="eastAsia" w:ascii="宋体" w:hAnsi="宋体" w:eastAsia="宋体" w:cs="宋体"/>
      <w:color w:val="000000"/>
      <w:sz w:val="24"/>
      <w:szCs w:val="24"/>
      <w:u w:val="none"/>
    </w:r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font21"/>
    <w:qFormat/>
    <w:uiPriority w:val="0"/>
    <w:rPr>
      <w:rFonts w:hint="eastAsia" w:ascii="宋体" w:hAnsi="宋体" w:eastAsia="宋体" w:cs="宋体"/>
      <w:color w:val="000000"/>
      <w:sz w:val="22"/>
      <w:szCs w:val="22"/>
      <w:u w:val="none"/>
    </w:rPr>
  </w:style>
  <w:style w:type="paragraph" w:customStyle="1" w:styleId="23">
    <w:name w:val="标题1"/>
    <w:basedOn w:val="2"/>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8226</Words>
  <Characters>9679</Characters>
  <Lines>97</Lines>
  <Paragraphs>27</Paragraphs>
  <TotalTime>20</TotalTime>
  <ScaleCrop>false</ScaleCrop>
  <LinksUpToDate>false</LinksUpToDate>
  <CharactersWithSpaces>9881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2007-11-28T19:41:00Z</dcterms:created>
  <dc:creator>管理者</dc:creator>
  <cp:lastModifiedBy>Administrator</cp:lastModifiedBy>
  <cp:lastPrinted>2018-07-24T10:50:00Z</cp:lastPrinted>
  <dcterms:modified xsi:type="dcterms:W3CDTF">2022-09-06T08:47:50Z</dcterms:modified>
  <dc:title>2020年度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8AD503EB85E54F0EBB238BAC31399672</vt:lpwstr>
  </property>
</Properties>
</file>