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许昌市建安区住房和城乡建设局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部门决算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许昌市建安区住房和城乡建设局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Borders>
            <w:top w:val="none" w:sz="0" w:space="0"/>
            <w:left w:val="none" w:sz="0" w:space="0"/>
            <w:bottom w:val="none" w:sz="0" w:space="0"/>
            <w:right w:val="none" w:sz="0" w:space="0"/>
          </w:pgBorders>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许昌市建安区住房和城乡建设局</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spacing w:line="60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负责城镇中低收入群体住房保障工作；</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2.承担推进住房制度改革</w:t>
      </w:r>
      <w:r>
        <w:rPr>
          <w:rFonts w:hint="eastAsia" w:ascii="仿宋_GB2312" w:hAnsi="宋体" w:eastAsia="仿宋_GB2312" w:cs="宋体"/>
          <w:kern w:val="0"/>
          <w:sz w:val="32"/>
          <w:szCs w:val="32"/>
          <w:lang w:val="en-US" w:eastAsia="zh-CN"/>
        </w:rPr>
        <w:t>和住房发展</w:t>
      </w:r>
      <w:r>
        <w:rPr>
          <w:rFonts w:hint="eastAsia" w:ascii="仿宋_GB2312" w:hAnsi="宋体" w:eastAsia="仿宋_GB2312" w:cs="宋体"/>
          <w:kern w:val="0"/>
          <w:sz w:val="32"/>
          <w:szCs w:val="32"/>
        </w:rPr>
        <w:t>的责任；</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负责房地产市场监督管理工作</w:t>
      </w:r>
      <w:r>
        <w:rPr>
          <w:rFonts w:hint="eastAsia" w:ascii="仿宋_GB2312" w:hAnsi="宋体" w:eastAsia="仿宋_GB2312" w:cs="宋体"/>
          <w:kern w:val="0"/>
          <w:sz w:val="32"/>
          <w:szCs w:val="32"/>
        </w:rPr>
        <w:t>；</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4.承担建筑市场监督管理的责任、</w:t>
      </w:r>
      <w:r>
        <w:rPr>
          <w:rFonts w:hint="eastAsia" w:ascii="仿宋_GB2312" w:hAnsi="宋体" w:eastAsia="仿宋_GB2312" w:cs="宋体"/>
          <w:kern w:val="0"/>
          <w:sz w:val="32"/>
          <w:szCs w:val="32"/>
          <w:lang w:val="en-US" w:eastAsia="zh-CN"/>
        </w:rPr>
        <w:t>指导</w:t>
      </w:r>
      <w:r>
        <w:rPr>
          <w:rFonts w:hint="eastAsia" w:ascii="仿宋_GB2312" w:hAnsi="宋体" w:eastAsia="仿宋_GB2312" w:cs="宋体"/>
          <w:kern w:val="0"/>
          <w:sz w:val="32"/>
          <w:szCs w:val="32"/>
        </w:rPr>
        <w:t>建安区村镇建设的责任；</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5.承担建筑工程质量安全监管的责任，承担推进建筑节能城镇减排的责任。</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6.负责建安区城建监察工作，依法查处各种建设违规违法案件；</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7.承担建安区城市市容市貌管理的责任；</w:t>
      </w:r>
    </w:p>
    <w:p>
      <w:pPr>
        <w:widowControl/>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8.承办建安区人民政府交办的其他事项</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360" w:lineRule="auto"/>
        <w:ind w:firstLine="480" w:firstLineChars="150"/>
        <w:rPr>
          <w:rFonts w:hint="default" w:ascii="仿宋_GB2312" w:hAnsi="仿宋" w:eastAsia="仿宋_GB2312"/>
          <w:sz w:val="32"/>
          <w:szCs w:val="32"/>
          <w:lang w:val="en-US" w:eastAsia="zh-CN"/>
        </w:rPr>
      </w:pPr>
      <w:r>
        <w:rPr>
          <w:rFonts w:hint="eastAsia" w:ascii="仿宋_GB2312" w:hAnsi="仿宋" w:eastAsia="仿宋_GB2312"/>
          <w:sz w:val="32"/>
          <w:szCs w:val="32"/>
        </w:rPr>
        <w:t>许昌市</w:t>
      </w:r>
      <w:r>
        <w:rPr>
          <w:rFonts w:hint="eastAsia" w:ascii="仿宋_GB2312" w:hAnsi="仿宋" w:eastAsia="仿宋_GB2312"/>
          <w:sz w:val="32"/>
          <w:szCs w:val="32"/>
          <w:lang w:eastAsia="zh-CN"/>
        </w:rPr>
        <w:t>建安区</w:t>
      </w:r>
      <w:r>
        <w:rPr>
          <w:rFonts w:hint="eastAsia" w:ascii="仿宋_GB2312" w:hAnsi="仿宋" w:eastAsia="仿宋_GB2312"/>
          <w:sz w:val="32"/>
          <w:szCs w:val="32"/>
        </w:rPr>
        <w:t>住房和</w:t>
      </w:r>
      <w:r>
        <w:rPr>
          <w:rFonts w:hint="eastAsia" w:ascii="仿宋_GB2312" w:hAnsi="仿宋" w:eastAsia="仿宋_GB2312"/>
          <w:sz w:val="32"/>
          <w:szCs w:val="32"/>
          <w:lang w:eastAsia="zh-CN"/>
        </w:rPr>
        <w:t>城乡</w:t>
      </w:r>
      <w:r>
        <w:rPr>
          <w:rFonts w:hint="eastAsia" w:ascii="仿宋_GB2312" w:hAnsi="仿宋" w:eastAsia="仿宋_GB2312"/>
          <w:sz w:val="32"/>
          <w:szCs w:val="32"/>
        </w:rPr>
        <w:t>建设局下设</w:t>
      </w:r>
      <w:r>
        <w:rPr>
          <w:rFonts w:hint="eastAsia" w:ascii="仿宋_GB2312" w:hAnsi="仿宋" w:eastAsia="仿宋_GB2312"/>
          <w:sz w:val="32"/>
          <w:szCs w:val="32"/>
          <w:lang w:val="en-US" w:eastAsia="zh-CN"/>
        </w:rPr>
        <w:t>6</w:t>
      </w:r>
      <w:r>
        <w:rPr>
          <w:rFonts w:hint="eastAsia" w:ascii="仿宋_GB2312" w:hAnsi="仿宋" w:eastAsia="仿宋_GB2312"/>
          <w:sz w:val="32"/>
          <w:szCs w:val="32"/>
        </w:rPr>
        <w:t>个股室</w:t>
      </w:r>
      <w:r>
        <w:rPr>
          <w:rFonts w:hint="eastAsia" w:ascii="仿宋_GB2312" w:hAnsi="仿宋" w:eastAsia="仿宋_GB2312"/>
          <w:sz w:val="32"/>
          <w:szCs w:val="32"/>
          <w:lang w:eastAsia="zh-CN"/>
        </w:rPr>
        <w:t>，包括</w:t>
      </w:r>
      <w:r>
        <w:rPr>
          <w:rFonts w:hint="eastAsia" w:ascii="仿宋_GB2312" w:hAnsi="仿宋" w:eastAsia="仿宋_GB2312"/>
          <w:sz w:val="32"/>
          <w:szCs w:val="32"/>
        </w:rPr>
        <w:t>建安区住建局办公室</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行政审批与</w:t>
      </w:r>
      <w:r>
        <w:rPr>
          <w:rFonts w:hint="eastAsia" w:ascii="仿宋_GB2312" w:hAnsi="仿宋" w:eastAsia="仿宋_GB2312"/>
          <w:sz w:val="32"/>
          <w:szCs w:val="32"/>
        </w:rPr>
        <w:t>政策法规股</w:t>
      </w:r>
      <w:r>
        <w:rPr>
          <w:rFonts w:hint="eastAsia" w:ascii="仿宋_GB2312" w:hAnsi="仿宋" w:eastAsia="仿宋_GB2312"/>
          <w:sz w:val="32"/>
          <w:szCs w:val="32"/>
          <w:lang w:eastAsia="zh-CN"/>
        </w:rPr>
        <w:t>、</w:t>
      </w:r>
      <w:r>
        <w:rPr>
          <w:rFonts w:hint="eastAsia" w:ascii="仿宋_GB2312" w:hAnsi="仿宋" w:eastAsia="仿宋_GB2312"/>
          <w:sz w:val="32"/>
          <w:szCs w:val="32"/>
        </w:rPr>
        <w:t>住房保障</w:t>
      </w:r>
      <w:r>
        <w:rPr>
          <w:rFonts w:hint="eastAsia" w:ascii="仿宋_GB2312" w:hAnsi="仿宋" w:eastAsia="仿宋_GB2312"/>
          <w:sz w:val="32"/>
          <w:szCs w:val="32"/>
          <w:lang w:val="en-US" w:eastAsia="zh-CN"/>
        </w:rPr>
        <w:t>与房地产市场管理</w:t>
      </w:r>
      <w:r>
        <w:rPr>
          <w:rFonts w:hint="eastAsia" w:ascii="仿宋_GB2312" w:hAnsi="仿宋" w:eastAsia="仿宋_GB2312"/>
          <w:sz w:val="32"/>
          <w:szCs w:val="32"/>
        </w:rPr>
        <w:t>股</w:t>
      </w:r>
      <w:r>
        <w:rPr>
          <w:rFonts w:hint="eastAsia" w:ascii="仿宋_GB2312" w:hAnsi="仿宋" w:eastAsia="仿宋_GB2312"/>
          <w:sz w:val="32"/>
          <w:szCs w:val="32"/>
          <w:lang w:eastAsia="zh-CN"/>
        </w:rPr>
        <w:t>、</w:t>
      </w:r>
      <w:r>
        <w:rPr>
          <w:rFonts w:hint="eastAsia" w:ascii="仿宋_GB2312" w:hAnsi="仿宋" w:eastAsia="仿宋_GB2312"/>
          <w:sz w:val="32"/>
          <w:szCs w:val="32"/>
        </w:rPr>
        <w:t>建筑管理股</w:t>
      </w:r>
      <w:r>
        <w:rPr>
          <w:rFonts w:hint="eastAsia" w:ascii="仿宋_GB2312" w:hAnsi="仿宋" w:eastAsia="仿宋_GB2312"/>
          <w:sz w:val="32"/>
          <w:szCs w:val="32"/>
          <w:lang w:eastAsia="zh-CN"/>
        </w:rPr>
        <w:t>、</w:t>
      </w:r>
      <w:r>
        <w:rPr>
          <w:rFonts w:hint="eastAsia" w:ascii="仿宋_GB2312" w:hAnsi="仿宋" w:eastAsia="仿宋_GB2312"/>
          <w:sz w:val="32"/>
          <w:szCs w:val="32"/>
        </w:rPr>
        <w:t>城乡建设股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建设工程消防验收</w:t>
      </w:r>
      <w:r>
        <w:rPr>
          <w:rFonts w:hint="eastAsia" w:ascii="仿宋_GB2312" w:hAnsi="仿宋" w:eastAsia="仿宋_GB2312"/>
          <w:sz w:val="32"/>
          <w:szCs w:val="32"/>
        </w:rPr>
        <w:t>股</w:t>
      </w:r>
      <w:r>
        <w:rPr>
          <w:rFonts w:hint="eastAsia" w:ascii="仿宋_GB2312" w:hAnsi="仿宋" w:eastAsia="仿宋_GB2312"/>
          <w:sz w:val="32"/>
          <w:szCs w:val="32"/>
          <w:lang w:eastAsia="zh-CN"/>
        </w:rPr>
        <w:t>。二级单位包括许昌市建安区住房和城乡建设局（本级）、许昌市建安市政管理处、许昌市建安区绿化管理处等共</w:t>
      </w:r>
      <w:r>
        <w:rPr>
          <w:rFonts w:hint="eastAsia" w:ascii="仿宋_GB2312" w:hAnsi="仿宋" w:eastAsia="仿宋_GB2312"/>
          <w:sz w:val="32"/>
          <w:szCs w:val="32"/>
          <w:lang w:val="en-US" w:eastAsia="zh-CN"/>
        </w:rPr>
        <w:t>10个单位。</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 w:eastAsia="仿宋_GB2312"/>
          <w:sz w:val="32"/>
          <w:szCs w:val="32"/>
        </w:rPr>
        <w:t>许昌市</w:t>
      </w:r>
      <w:r>
        <w:rPr>
          <w:rFonts w:hint="eastAsia" w:ascii="仿宋_GB2312" w:hAnsi="仿宋" w:eastAsia="仿宋_GB2312"/>
          <w:sz w:val="32"/>
          <w:szCs w:val="32"/>
          <w:lang w:eastAsia="zh-CN"/>
        </w:rPr>
        <w:t>建安区</w:t>
      </w:r>
      <w:r>
        <w:rPr>
          <w:rFonts w:hint="eastAsia" w:ascii="仿宋_GB2312" w:hAnsi="仿宋" w:eastAsia="仿宋_GB2312"/>
          <w:sz w:val="32"/>
          <w:szCs w:val="32"/>
        </w:rPr>
        <w:t>住房和</w:t>
      </w:r>
      <w:r>
        <w:rPr>
          <w:rFonts w:hint="eastAsia" w:ascii="仿宋_GB2312" w:hAnsi="仿宋" w:eastAsia="仿宋_GB2312"/>
          <w:sz w:val="32"/>
          <w:szCs w:val="32"/>
          <w:lang w:eastAsia="zh-CN"/>
        </w:rPr>
        <w:t>城乡</w:t>
      </w:r>
      <w:r>
        <w:rPr>
          <w:rFonts w:hint="eastAsia" w:ascii="仿宋_GB2312" w:hAnsi="仿宋" w:eastAsia="仿宋_GB2312"/>
          <w:sz w:val="32"/>
          <w:szCs w:val="32"/>
        </w:rPr>
        <w:t>建设</w:t>
      </w:r>
      <w:r>
        <w:rPr>
          <w:rFonts w:hint="eastAsia" w:ascii="仿宋_GB2312" w:hAnsi="仿宋" w:eastAsia="仿宋_GB2312"/>
          <w:sz w:val="32"/>
          <w:szCs w:val="32"/>
          <w:lang w:eastAsia="zh-CN"/>
        </w:rPr>
        <w:t>局</w:t>
      </w:r>
      <w:r>
        <w:rPr>
          <w:rFonts w:hint="eastAsia" w:ascii="仿宋_GB2312" w:hAnsi="仿宋_GB2312" w:eastAsia="仿宋_GB2312" w:cs="仿宋_GB2312"/>
          <w:kern w:val="0"/>
          <w:sz w:val="32"/>
          <w:szCs w:val="32"/>
        </w:rPr>
        <w:t>部门决算包括：本级决算、所属单位决算。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本决算为汇总决算，纳入本部门2021年度部门决算编制范围的单位共9个，其中二级预算单位9个，具体是：</w:t>
      </w:r>
    </w:p>
    <w:p>
      <w:pPr>
        <w:widowControl/>
        <w:numPr>
          <w:ilvl w:val="0"/>
          <w:numId w:val="0"/>
        </w:numPr>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许昌市建安区住房和城乡建设局</w:t>
      </w:r>
      <w:r>
        <w:rPr>
          <w:rFonts w:hint="eastAsia" w:ascii="仿宋_GB2312" w:hAnsi="仿宋_GB2312" w:eastAsia="仿宋_GB2312" w:cs="仿宋_GB2312"/>
          <w:kern w:val="0"/>
          <w:sz w:val="32"/>
          <w:szCs w:val="32"/>
          <w:lang w:eastAsia="zh-CN"/>
        </w:rPr>
        <w:t>（本级）</w:t>
      </w:r>
    </w:p>
    <w:p>
      <w:pPr>
        <w:widowControl/>
        <w:numPr>
          <w:ilvl w:val="0"/>
          <w:numId w:val="0"/>
        </w:numPr>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2.许昌市建安区市政</w:t>
      </w:r>
      <w:r>
        <w:rPr>
          <w:rFonts w:hint="eastAsia" w:ascii="仿宋_GB2312" w:hAnsi="仿宋_GB2312" w:eastAsia="仿宋_GB2312" w:cs="仿宋_GB2312"/>
          <w:kern w:val="0"/>
          <w:sz w:val="32"/>
          <w:szCs w:val="32"/>
          <w:lang w:eastAsia="zh-CN"/>
        </w:rPr>
        <w:t>管护所</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.许昌市建安区建设工程质量监督站</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.许昌市建安区建筑工程标准定额管理站</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.许昌市建安区</w:t>
      </w:r>
      <w:r>
        <w:rPr>
          <w:rFonts w:hint="eastAsia" w:ascii="仿宋_GB2312" w:hAnsi="仿宋_GB2312" w:eastAsia="仿宋_GB2312" w:cs="仿宋_GB2312"/>
          <w:kern w:val="0"/>
          <w:sz w:val="32"/>
          <w:szCs w:val="32"/>
          <w:lang w:eastAsia="zh-CN"/>
        </w:rPr>
        <w:t>房屋征收中心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.许昌市建安区城建监察大队</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.许昌市建安区</w:t>
      </w:r>
      <w:r>
        <w:rPr>
          <w:rFonts w:hint="eastAsia" w:ascii="仿宋_GB2312" w:hAnsi="仿宋_GB2312" w:eastAsia="仿宋_GB2312" w:cs="仿宋_GB2312"/>
          <w:kern w:val="0"/>
          <w:sz w:val="32"/>
          <w:szCs w:val="32"/>
          <w:lang w:eastAsia="zh-CN"/>
        </w:rPr>
        <w:t>房产管理局</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8、许昌市建安区室内装饰行业发展服务中心</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9、许昌市建安区城镇住房制度改革办公室</w:t>
      </w:r>
    </w:p>
    <w:p>
      <w:pPr>
        <w:widowControl/>
        <w:jc w:val="left"/>
        <w:rPr>
          <w:rFonts w:hint="default" w:ascii="仿宋_GB2312" w:hAnsi="仿宋_GB2312" w:eastAsia="仿宋_GB2312" w:cs="仿宋_GB2312"/>
          <w:kern w:val="0"/>
          <w:sz w:val="32"/>
          <w:szCs w:val="32"/>
          <w:lang w:val="en-US" w:eastAsia="zh-CN"/>
        </w:rPr>
      </w:pPr>
      <w:r>
        <w:rPr>
          <w:rFonts w:hint="eastAsia" w:ascii="黑体" w:hAnsi="宋体" w:eastAsia="黑体" w:cs="宋体"/>
          <w:color w:val="auto"/>
          <w:kern w:val="0"/>
          <w:sz w:val="28"/>
          <w:szCs w:val="28"/>
          <w:highlight w:val="none"/>
          <w:lang w:val="en-US" w:eastAsia="zh-CN"/>
        </w:rPr>
        <w:t xml:space="preserve">    </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部门决算表</w:t>
      </w:r>
    </w:p>
    <w:tbl>
      <w:tblPr>
        <w:tblStyle w:val="10"/>
        <w:tblW w:w="14081" w:type="dxa"/>
        <w:tblInd w:w="93" w:type="dxa"/>
        <w:tblLayout w:type="fixed"/>
        <w:tblCellMar>
          <w:top w:w="0" w:type="dxa"/>
          <w:left w:w="108" w:type="dxa"/>
          <w:bottom w:w="0" w:type="dxa"/>
          <w:right w:w="108" w:type="dxa"/>
        </w:tblCellMar>
      </w:tblPr>
      <w:tblGrid>
        <w:gridCol w:w="4620"/>
        <w:gridCol w:w="811"/>
        <w:gridCol w:w="1491"/>
        <w:gridCol w:w="4348"/>
        <w:gridCol w:w="811"/>
        <w:gridCol w:w="2000"/>
      </w:tblGrid>
      <w:tr>
        <w:tblPrEx>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255" w:hRule="atLeast"/>
        </w:trPr>
        <w:tc>
          <w:tcPr>
            <w:tcW w:w="46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00"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trHeight w:val="255" w:hRule="atLeast"/>
        </w:trPr>
        <w:tc>
          <w:tcPr>
            <w:tcW w:w="4620" w:type="dxa"/>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部门：许昌市建安区住房和城乡建设局</w:t>
            </w:r>
          </w:p>
        </w:tc>
        <w:tc>
          <w:tcPr>
            <w:tcW w:w="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00"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69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59"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44,895.39</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36.12</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39,156.95</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83,285.95</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84,052.34</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348"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0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1"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c>
          <w:tcPr>
            <w:tcW w:w="43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r>
      <w:tr>
        <w:tblPrEx>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988" w:type="dxa"/>
        <w:tblInd w:w="0" w:type="dxa"/>
        <w:tblLayout w:type="fixed"/>
        <w:tblCellMar>
          <w:top w:w="0" w:type="dxa"/>
          <w:left w:w="0" w:type="dxa"/>
          <w:bottom w:w="0" w:type="dxa"/>
          <w:right w:w="0" w:type="dxa"/>
        </w:tblCellMar>
      </w:tblPr>
      <w:tblGrid>
        <w:gridCol w:w="69"/>
        <w:gridCol w:w="69"/>
        <w:gridCol w:w="734"/>
        <w:gridCol w:w="4523"/>
        <w:gridCol w:w="1674"/>
        <w:gridCol w:w="1445"/>
        <w:gridCol w:w="945"/>
        <w:gridCol w:w="945"/>
        <w:gridCol w:w="995"/>
        <w:gridCol w:w="989"/>
        <w:gridCol w:w="1600"/>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5" w:hRule="atLeast"/>
        </w:trPr>
        <w:tc>
          <w:tcPr>
            <w:tcW w:w="69" w:type="dxa"/>
            <w:tcBorders>
              <w:top w:val="nil"/>
              <w:left w:val="nil"/>
              <w:bottom w:val="nil"/>
              <w:right w:val="nil"/>
            </w:tcBorders>
            <w:tcMar>
              <w:top w:w="15" w:type="dxa"/>
              <w:left w:w="15" w:type="dxa"/>
              <w:right w:w="15" w:type="dxa"/>
            </w:tcMar>
            <w:vAlign w:val="bottom"/>
          </w:tcPr>
          <w:p>
            <w:pPr>
              <w:rPr>
                <w:rFonts w:hint="eastAsia" w:ascii="Arial" w:hAnsi="Arial" w:cs="Arial"/>
                <w:i w:val="0"/>
                <w:color w:val="000000"/>
                <w:sz w:val="20"/>
                <w:szCs w:val="20"/>
                <w:u w:val="none"/>
              </w:rPr>
            </w:pPr>
          </w:p>
        </w:tc>
        <w:tc>
          <w:tcPr>
            <w:tcW w:w="69"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734"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4523"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74"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4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9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89"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00" w:type="dxa"/>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55" w:hRule="atLeast"/>
        </w:trPr>
        <w:tc>
          <w:tcPr>
            <w:tcW w:w="5395" w:type="dxa"/>
            <w:gridSpan w:val="4"/>
            <w:tcBorders>
              <w:top w:val="nil"/>
              <w:left w:val="nil"/>
              <w:bottom w:val="nil"/>
              <w:right w:val="nil"/>
            </w:tcBorders>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1674"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4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9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89"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00" w:type="dxa"/>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39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74"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4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4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4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9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8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6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872"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2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74"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2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2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395"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5395"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84,052.34</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84,052.34</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2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2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52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52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52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83,281.53</w:t>
            </w:r>
          </w:p>
        </w:tc>
        <w:tc>
          <w:tcPr>
            <w:tcW w:w="1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83,281.53</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2,496.09</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2,496.09</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2120105</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工程建设标准规范编制与监管</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206.85</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206.85</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572.16</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572.16</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2120107</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161.19</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161.19</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1,187.92</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1,187.92</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523"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74"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45"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945"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城市公共设施</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2200150</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322.71</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5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452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674"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44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94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452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67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jc w:val="both"/>
        <w:rPr>
          <w:rFonts w:hint="eastAsia" w:ascii="仿宋_GB2312" w:hAnsi="仿宋_GB2312" w:eastAsia="仿宋_GB2312" w:cs="仿宋_GB2312"/>
          <w:color w:val="auto"/>
          <w:sz w:val="32"/>
          <w:szCs w:val="32"/>
          <w:highlight w:val="none"/>
        </w:rPr>
      </w:pPr>
    </w:p>
    <w:tbl>
      <w:tblPr>
        <w:tblStyle w:val="10"/>
        <w:tblW w:w="13988" w:type="dxa"/>
        <w:tblInd w:w="0" w:type="dxa"/>
        <w:tblLayout w:type="fixed"/>
        <w:tblCellMar>
          <w:top w:w="0" w:type="dxa"/>
          <w:left w:w="0" w:type="dxa"/>
          <w:bottom w:w="0" w:type="dxa"/>
          <w:right w:w="0" w:type="dxa"/>
        </w:tblCellMar>
      </w:tblPr>
      <w:tblGrid>
        <w:gridCol w:w="69"/>
        <w:gridCol w:w="70"/>
        <w:gridCol w:w="744"/>
        <w:gridCol w:w="4445"/>
        <w:gridCol w:w="1652"/>
        <w:gridCol w:w="1487"/>
        <w:gridCol w:w="1609"/>
        <w:gridCol w:w="1000"/>
        <w:gridCol w:w="983"/>
        <w:gridCol w:w="1929"/>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tcMar>
              <w:top w:w="15" w:type="dxa"/>
              <w:left w:w="15" w:type="dxa"/>
              <w:right w:w="15" w:type="dxa"/>
            </w:tcMar>
            <w:vAlign w:val="bottom"/>
          </w:tcPr>
          <w:p>
            <w:pPr>
              <w:keepNext w:val="0"/>
              <w:keepLines w:val="0"/>
              <w:widowControl/>
              <w:suppressLineNumbers w:val="0"/>
              <w:ind w:firstLine="300" w:firstLineChars="10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55" w:hRule="atLeast"/>
        </w:trPr>
        <w:tc>
          <w:tcPr>
            <w:tcW w:w="69" w:type="dxa"/>
            <w:tcBorders>
              <w:top w:val="nil"/>
              <w:left w:val="nil"/>
              <w:bottom w:val="nil"/>
              <w:right w:val="nil"/>
            </w:tcBorders>
            <w:tcMar>
              <w:top w:w="15" w:type="dxa"/>
              <w:left w:w="15" w:type="dxa"/>
              <w:right w:w="15" w:type="dxa"/>
            </w:tcMar>
            <w:vAlign w:val="bottom"/>
          </w:tcPr>
          <w:p>
            <w:pPr>
              <w:rPr>
                <w:rFonts w:hint="eastAsia" w:ascii="Arial" w:hAnsi="Arial" w:cs="Arial"/>
                <w:i w:val="0"/>
                <w:color w:val="000000"/>
                <w:sz w:val="20"/>
                <w:szCs w:val="20"/>
                <w:u w:val="none"/>
              </w:rPr>
            </w:pPr>
          </w:p>
        </w:tc>
        <w:tc>
          <w:tcPr>
            <w:tcW w:w="70"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744"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444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52"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487"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09"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83"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929" w:type="dxa"/>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5328" w:type="dxa"/>
            <w:gridSpan w:val="4"/>
            <w:tcBorders>
              <w:top w:val="nil"/>
              <w:left w:val="nil"/>
              <w:bottom w:val="nil"/>
              <w:right w:val="nil"/>
            </w:tcBorders>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1652"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487"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609"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83"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929" w:type="dxa"/>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32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52"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48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0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0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83"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92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883"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44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5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83"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83"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32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2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532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84,060.02</w:t>
            </w:r>
          </w:p>
        </w:tc>
        <w:tc>
          <w:tcPr>
            <w:tcW w:w="14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3,036.08</w:t>
            </w:r>
          </w:p>
        </w:tc>
        <w:tc>
          <w:tcPr>
            <w:tcW w:w="16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81,023.94</w:t>
            </w:r>
          </w:p>
        </w:tc>
        <w:tc>
          <w:tcPr>
            <w:tcW w:w="10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4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6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4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6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83,285.95</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80,785.44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2120105</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工程建设标准规范编制与监管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207.76</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207.76</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573.38</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573.38</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2120107</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161.30</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161.30</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1,190.11</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1,190.11</w:t>
            </w: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445"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52"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87"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000"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城市公共设施</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2200150</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4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444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6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4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0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444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4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847" w:type="dxa"/>
        <w:tblInd w:w="0" w:type="dxa"/>
        <w:tblLayout w:type="fixed"/>
        <w:tblCellMar>
          <w:top w:w="0" w:type="dxa"/>
          <w:left w:w="0" w:type="dxa"/>
          <w:bottom w:w="0" w:type="dxa"/>
          <w:right w:w="0" w:type="dxa"/>
        </w:tblCellMar>
      </w:tblPr>
      <w:tblGrid>
        <w:gridCol w:w="3430"/>
        <w:gridCol w:w="471"/>
        <w:gridCol w:w="1380"/>
        <w:gridCol w:w="3345"/>
        <w:gridCol w:w="471"/>
        <w:gridCol w:w="1020"/>
        <w:gridCol w:w="1410"/>
        <w:gridCol w:w="1145"/>
        <w:gridCol w:w="1175"/>
      </w:tblGrid>
      <w:tr>
        <w:tblPrEx>
          <w:tblCellMar>
            <w:top w:w="0" w:type="dxa"/>
            <w:left w:w="0" w:type="dxa"/>
            <w:bottom w:w="0" w:type="dxa"/>
            <w:right w:w="0" w:type="dxa"/>
          </w:tblCellMar>
        </w:tblPrEx>
        <w:trPr>
          <w:trHeight w:val="390" w:hRule="atLeast"/>
        </w:trPr>
        <w:tc>
          <w:tcPr>
            <w:tcW w:w="13847" w:type="dxa"/>
            <w:gridSpan w:val="9"/>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430" w:type="dxa"/>
            <w:tcBorders>
              <w:top w:val="nil"/>
              <w:left w:val="nil"/>
              <w:bottom w:val="nil"/>
              <w:right w:val="nil"/>
            </w:tcBorders>
            <w:shd w:val="clear" w:color="auto" w:fill="FFFFFF"/>
            <w:tcMar>
              <w:top w:w="15" w:type="dxa"/>
              <w:left w:w="15" w:type="dxa"/>
              <w:right w:w="15" w:type="dxa"/>
            </w:tcMar>
            <w:vAlign w:val="bottom"/>
          </w:tcPr>
          <w:p>
            <w:pPr>
              <w:rPr>
                <w:rFonts w:hint="eastAsia" w:ascii="Arial" w:hAnsi="Arial" w:cs="Arial"/>
                <w:i w:val="0"/>
                <w:color w:val="000000"/>
                <w:sz w:val="20"/>
                <w:szCs w:val="20"/>
                <w:u w:val="none"/>
              </w:rPr>
            </w:pPr>
          </w:p>
        </w:tc>
        <w:tc>
          <w:tcPr>
            <w:tcW w:w="47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33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47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02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75"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471" w:type="dxa"/>
            <w:tcBorders>
              <w:top w:val="nil"/>
              <w:left w:val="nil"/>
              <w:bottom w:val="nil"/>
              <w:right w:val="nil"/>
            </w:tcBorders>
            <w:shd w:val="clear" w:color="auto" w:fill="FFFFFF"/>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33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47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02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75"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2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566"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43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8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4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2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4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17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43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44,895.39</w:t>
            </w: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36.12</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36.12</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83,285.95</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44,129.00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8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71"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2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84,052.34</w:t>
            </w: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44,903.07</w:t>
            </w: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3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71"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80"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20"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1" w:type="dxa"/>
            <w:tcBorders>
              <w:top w:val="nil"/>
              <w:left w:val="nil"/>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c>
          <w:tcPr>
            <w:tcW w:w="33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2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84,060.02</w:t>
            </w:r>
          </w:p>
        </w:tc>
        <w:tc>
          <w:tcPr>
            <w:tcW w:w="14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44,903.07</w:t>
            </w:r>
          </w:p>
        </w:tc>
        <w:tc>
          <w:tcPr>
            <w:tcW w:w="11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11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847"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2990" w:type="dxa"/>
        <w:tblInd w:w="0" w:type="dxa"/>
        <w:shd w:val="clear" w:color="auto" w:fill="FFFFFF"/>
        <w:tblLayout w:type="fixed"/>
        <w:tblCellMar>
          <w:top w:w="0" w:type="dxa"/>
          <w:left w:w="0" w:type="dxa"/>
          <w:bottom w:w="0" w:type="dxa"/>
          <w:right w:w="0" w:type="dxa"/>
        </w:tblCellMar>
      </w:tblPr>
      <w:tblGrid>
        <w:gridCol w:w="266"/>
        <w:gridCol w:w="266"/>
        <w:gridCol w:w="268"/>
        <w:gridCol w:w="5198"/>
        <w:gridCol w:w="2740"/>
        <w:gridCol w:w="1868"/>
        <w:gridCol w:w="2384"/>
      </w:tblGrid>
      <w:tr>
        <w:tblPrEx>
          <w:shd w:val="clear" w:color="auto" w:fill="FFFFFF"/>
          <w:tblCellMar>
            <w:top w:w="0" w:type="dxa"/>
            <w:left w:w="0" w:type="dxa"/>
            <w:bottom w:w="0" w:type="dxa"/>
            <w:right w:w="0" w:type="dxa"/>
          </w:tblCellMar>
        </w:tblPrEx>
        <w:trPr>
          <w:trHeight w:val="390" w:hRule="atLeast"/>
        </w:trPr>
        <w:tc>
          <w:tcPr>
            <w:tcW w:w="12990" w:type="dxa"/>
            <w:gridSpan w:val="7"/>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shd w:val="clear" w:color="auto" w:fill="FFFFFF"/>
          <w:tblCellMar>
            <w:top w:w="0" w:type="dxa"/>
            <w:left w:w="0" w:type="dxa"/>
            <w:bottom w:w="0" w:type="dxa"/>
            <w:right w:w="0" w:type="dxa"/>
          </w:tblCellMar>
        </w:tblPrEx>
        <w:trPr>
          <w:trHeight w:val="255" w:hRule="atLeast"/>
        </w:trPr>
        <w:tc>
          <w:tcPr>
            <w:tcW w:w="266" w:type="dxa"/>
            <w:tcBorders>
              <w:top w:val="nil"/>
              <w:left w:val="nil"/>
              <w:bottom w:val="nil"/>
              <w:right w:val="nil"/>
            </w:tcBorders>
            <w:shd w:val="clear" w:color="auto" w:fill="FFFFFF"/>
            <w:tcMar>
              <w:top w:w="15" w:type="dxa"/>
              <w:left w:w="15" w:type="dxa"/>
              <w:right w:w="15" w:type="dxa"/>
            </w:tcMar>
            <w:vAlign w:val="bottom"/>
          </w:tcPr>
          <w:p>
            <w:pPr>
              <w:rPr>
                <w:rFonts w:hint="eastAsia" w:ascii="Arial" w:hAnsi="Arial" w:cs="Arial"/>
                <w:i w:val="0"/>
                <w:color w:val="000000"/>
                <w:sz w:val="20"/>
                <w:szCs w:val="20"/>
                <w:u w:val="none"/>
              </w:rPr>
            </w:pPr>
          </w:p>
        </w:tc>
        <w:tc>
          <w:tcPr>
            <w:tcW w:w="266"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6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519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74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86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384"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FFFFFF"/>
          <w:tblCellMar>
            <w:top w:w="0" w:type="dxa"/>
            <w:left w:w="0" w:type="dxa"/>
            <w:bottom w:w="0" w:type="dxa"/>
            <w:right w:w="0" w:type="dxa"/>
          </w:tblCellMar>
        </w:tblPrEx>
        <w:trPr>
          <w:trHeight w:val="255" w:hRule="atLeast"/>
        </w:trPr>
        <w:tc>
          <w:tcPr>
            <w:tcW w:w="5998" w:type="dxa"/>
            <w:gridSpan w:val="4"/>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274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86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384"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FFFFFF"/>
          <w:tblCellMar>
            <w:top w:w="0" w:type="dxa"/>
            <w:left w:w="0" w:type="dxa"/>
            <w:bottom w:w="0" w:type="dxa"/>
            <w:right w:w="0" w:type="dxa"/>
          </w:tblCellMar>
        </w:tblPrEx>
        <w:trPr>
          <w:trHeight w:val="308" w:hRule="atLeast"/>
        </w:trPr>
        <w:tc>
          <w:tcPr>
            <w:tcW w:w="599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92"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FFFFFF"/>
          <w:tblCellMar>
            <w:top w:w="0" w:type="dxa"/>
            <w:left w:w="0" w:type="dxa"/>
            <w:bottom w:w="0" w:type="dxa"/>
            <w:right w:w="0" w:type="dxa"/>
          </w:tblCellMar>
        </w:tblPrEx>
        <w:trPr>
          <w:trHeight w:val="308" w:hRule="atLeast"/>
        </w:trPr>
        <w:tc>
          <w:tcPr>
            <w:tcW w:w="800"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19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74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6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84"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FFFFFF"/>
          <w:tblCellMar>
            <w:top w:w="0" w:type="dxa"/>
            <w:left w:w="0" w:type="dxa"/>
            <w:bottom w:w="0" w:type="dxa"/>
            <w:right w:w="0" w:type="dxa"/>
          </w:tblCellMar>
        </w:tblPrEx>
        <w:trPr>
          <w:trHeight w:val="277" w:hRule="atLeast"/>
        </w:trPr>
        <w:tc>
          <w:tcPr>
            <w:tcW w:w="800"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4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8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4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8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599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FFFFFF"/>
          <w:tblCellMar>
            <w:top w:w="0" w:type="dxa"/>
            <w:left w:w="0" w:type="dxa"/>
            <w:bottom w:w="0" w:type="dxa"/>
            <w:right w:w="0" w:type="dxa"/>
          </w:tblCellMar>
        </w:tblPrEx>
        <w:trPr>
          <w:trHeight w:val="308" w:hRule="atLeast"/>
        </w:trPr>
        <w:tc>
          <w:tcPr>
            <w:tcW w:w="599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44,903.07</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3,036.08</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41,866.99</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209.60</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44,129.00</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2,500.51</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367.96</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2120105</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工程建设标准规范编制与监管</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207.76</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207.76</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573.38</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573.38</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2120107</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161.30</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161.30</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1,190.11</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1,190.11</w:t>
            </w: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519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7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c>
          <w:tcPr>
            <w:tcW w:w="186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41,628.49</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nil"/>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198"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74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868"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2384"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2200150</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tblPrEx>
          <w:shd w:val="clear" w:color="auto" w:fill="FFFFFF"/>
          <w:tblCellMar>
            <w:top w:w="0" w:type="dxa"/>
            <w:left w:w="0" w:type="dxa"/>
            <w:bottom w:w="0" w:type="dxa"/>
            <w:right w:w="0" w:type="dxa"/>
          </w:tblCellMar>
        </w:tblPrEx>
        <w:trPr>
          <w:trHeight w:val="308" w:hRule="atLeast"/>
        </w:trPr>
        <w:tc>
          <w:tcPr>
            <w:tcW w:w="800"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519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7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8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r>
      <w:tr>
        <w:tblPrEx>
          <w:tblCellMar>
            <w:top w:w="0" w:type="dxa"/>
            <w:left w:w="0" w:type="dxa"/>
            <w:bottom w:w="0" w:type="dxa"/>
            <w:right w:w="0" w:type="dxa"/>
          </w:tblCellMar>
        </w:tblPrEx>
        <w:trPr>
          <w:trHeight w:val="308" w:hRule="atLeast"/>
        </w:trPr>
        <w:tc>
          <w:tcPr>
            <w:tcW w:w="1299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939" w:type="dxa"/>
        <w:tblInd w:w="0" w:type="dxa"/>
        <w:tblLayout w:type="fixed"/>
        <w:tblCellMar>
          <w:top w:w="0" w:type="dxa"/>
          <w:left w:w="0" w:type="dxa"/>
          <w:bottom w:w="0" w:type="dxa"/>
          <w:right w:w="0" w:type="dxa"/>
        </w:tblCellMar>
      </w:tblPr>
      <w:tblGrid>
        <w:gridCol w:w="657"/>
        <w:gridCol w:w="3330"/>
        <w:gridCol w:w="1051"/>
        <w:gridCol w:w="657"/>
        <w:gridCol w:w="2510"/>
        <w:gridCol w:w="793"/>
        <w:gridCol w:w="657"/>
        <w:gridCol w:w="3084"/>
        <w:gridCol w:w="1200"/>
      </w:tblGrid>
      <w:tr>
        <w:tblPrEx>
          <w:tblCellMar>
            <w:top w:w="0" w:type="dxa"/>
            <w:left w:w="0" w:type="dxa"/>
            <w:bottom w:w="0" w:type="dxa"/>
            <w:right w:w="0" w:type="dxa"/>
          </w:tblCellMar>
        </w:tblPrEx>
        <w:trPr>
          <w:trHeight w:val="390" w:hRule="atLeast"/>
        </w:trPr>
        <w:tc>
          <w:tcPr>
            <w:tcW w:w="13939" w:type="dxa"/>
            <w:gridSpan w:val="9"/>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657" w:type="dxa"/>
            <w:tcBorders>
              <w:top w:val="nil"/>
              <w:left w:val="nil"/>
              <w:bottom w:val="nil"/>
              <w:right w:val="nil"/>
            </w:tcBorders>
            <w:shd w:val="clear" w:color="auto" w:fill="FFFFFF"/>
            <w:tcMar>
              <w:top w:w="15" w:type="dxa"/>
              <w:left w:w="15" w:type="dxa"/>
              <w:right w:w="15" w:type="dxa"/>
            </w:tcMar>
            <w:vAlign w:val="bottom"/>
          </w:tcPr>
          <w:p>
            <w:pPr>
              <w:rPr>
                <w:rFonts w:hint="eastAsia" w:ascii="Arial" w:hAnsi="Arial" w:cs="Arial"/>
                <w:i w:val="0"/>
                <w:color w:val="000000"/>
                <w:sz w:val="20"/>
                <w:szCs w:val="20"/>
                <w:u w:val="none"/>
              </w:rPr>
            </w:pPr>
          </w:p>
        </w:tc>
        <w:tc>
          <w:tcPr>
            <w:tcW w:w="333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05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65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51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9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65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308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55" w:hRule="atLeast"/>
        </w:trPr>
        <w:tc>
          <w:tcPr>
            <w:tcW w:w="3987" w:type="dxa"/>
            <w:gridSpan w:val="2"/>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105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65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51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9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65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308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50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901"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65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3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5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57"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1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9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57"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084"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0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65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7"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1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7"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8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2,662.20</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162.50</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779.81</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63.56</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247.96</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698.68</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405.31</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180.42</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228.02</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211.39</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3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0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5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9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0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0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nil"/>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33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051"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203.12</w:t>
            </w:r>
          </w:p>
        </w:tc>
        <w:tc>
          <w:tcPr>
            <w:tcW w:w="657"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51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93"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084"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0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8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2,873.58</w:t>
            </w:r>
          </w:p>
        </w:tc>
        <w:tc>
          <w:tcPr>
            <w:tcW w:w="7701"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162.5</w:t>
            </w:r>
          </w:p>
        </w:tc>
      </w:tr>
      <w:tr>
        <w:tblPrEx>
          <w:tblCellMar>
            <w:top w:w="0" w:type="dxa"/>
            <w:left w:w="0" w:type="dxa"/>
            <w:bottom w:w="0" w:type="dxa"/>
            <w:right w:w="0" w:type="dxa"/>
          </w:tblCellMar>
        </w:tblPrEx>
        <w:trPr>
          <w:trHeight w:val="308" w:hRule="atLeast"/>
        </w:trPr>
        <w:tc>
          <w:tcPr>
            <w:tcW w:w="13939" w:type="dxa"/>
            <w:gridSpan w:val="9"/>
            <w:tcBorders>
              <w:top w:val="single" w:color="auto"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755" w:type="dxa"/>
        <w:tblInd w:w="0" w:type="dxa"/>
        <w:tblLayout w:type="fixed"/>
        <w:tblCellMar>
          <w:top w:w="0" w:type="dxa"/>
          <w:left w:w="0" w:type="dxa"/>
          <w:bottom w:w="0" w:type="dxa"/>
          <w:right w:w="0" w:type="dxa"/>
        </w:tblCellMar>
      </w:tblPr>
      <w:tblGrid>
        <w:gridCol w:w="3430"/>
        <w:gridCol w:w="1095"/>
        <w:gridCol w:w="804"/>
        <w:gridCol w:w="883"/>
        <w:gridCol w:w="883"/>
        <w:gridCol w:w="801"/>
        <w:gridCol w:w="774"/>
        <w:gridCol w:w="1151"/>
        <w:gridCol w:w="774"/>
        <w:gridCol w:w="883"/>
        <w:gridCol w:w="847"/>
        <w:gridCol w:w="1430"/>
      </w:tblGrid>
      <w:tr>
        <w:tblPrEx>
          <w:tblCellMar>
            <w:top w:w="0" w:type="dxa"/>
            <w:left w:w="0" w:type="dxa"/>
            <w:bottom w:w="0" w:type="dxa"/>
            <w:right w:w="0" w:type="dxa"/>
          </w:tblCellMar>
        </w:tblPrEx>
        <w:trPr>
          <w:trHeight w:val="540" w:hRule="atLeast"/>
        </w:trPr>
        <w:tc>
          <w:tcPr>
            <w:tcW w:w="13755" w:type="dxa"/>
            <w:gridSpan w:val="12"/>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3430" w:type="dxa"/>
            <w:tcBorders>
              <w:top w:val="nil"/>
              <w:left w:val="nil"/>
              <w:bottom w:val="nil"/>
              <w:right w:val="nil"/>
            </w:tcBorders>
            <w:shd w:val="clear" w:color="auto" w:fill="FFFFFF"/>
            <w:tcMar>
              <w:top w:w="15" w:type="dxa"/>
              <w:left w:w="15" w:type="dxa"/>
              <w:right w:w="15" w:type="dxa"/>
            </w:tcMar>
            <w:vAlign w:val="bottom"/>
          </w:tcPr>
          <w:p>
            <w:pPr>
              <w:rPr>
                <w:rFonts w:hint="eastAsia" w:ascii="Arial" w:hAnsi="Arial" w:cs="Arial"/>
                <w:i w:val="0"/>
                <w:color w:val="000000"/>
                <w:sz w:val="20"/>
                <w:szCs w:val="20"/>
                <w:u w:val="none"/>
              </w:rPr>
            </w:pPr>
          </w:p>
        </w:tc>
        <w:tc>
          <w:tcPr>
            <w:tcW w:w="109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0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0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7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5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7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4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3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109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0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0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7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51"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774"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847"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896"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5859"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343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570" w:type="dxa"/>
            <w:gridSpan w:val="3"/>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0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74"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504" w:type="dxa"/>
            <w:gridSpan w:val="3"/>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3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343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80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3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7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77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8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13755"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注：本表反映部门本年度“三公”经费支出预决算情况。其中，预算数为“三公”经费全年预算数；决算数是包括当年一般公共预算财政拨款和以前年度结转资金安排的实际支出。</w:t>
            </w:r>
          </w:p>
        </w:tc>
      </w:tr>
    </w:tbl>
    <w:p>
      <w:pPr>
        <w:pStyle w:val="2"/>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说明：我部门没有预算安排的三公经费，也没有预算安排的三公支出，故本表无数据</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695" w:type="dxa"/>
        <w:tblInd w:w="0" w:type="dxa"/>
        <w:tblLayout w:type="fixed"/>
        <w:tblCellMar>
          <w:top w:w="0" w:type="dxa"/>
          <w:left w:w="0" w:type="dxa"/>
          <w:bottom w:w="0" w:type="dxa"/>
          <w:right w:w="0" w:type="dxa"/>
        </w:tblCellMar>
      </w:tblPr>
      <w:tblGrid>
        <w:gridCol w:w="1887"/>
        <w:gridCol w:w="240"/>
        <w:gridCol w:w="240"/>
        <w:gridCol w:w="4245"/>
        <w:gridCol w:w="990"/>
        <w:gridCol w:w="1245"/>
        <w:gridCol w:w="1125"/>
        <w:gridCol w:w="975"/>
        <w:gridCol w:w="1318"/>
        <w:gridCol w:w="1430"/>
      </w:tblGrid>
      <w:tr>
        <w:tblPrEx>
          <w:tblCellMar>
            <w:top w:w="0" w:type="dxa"/>
            <w:left w:w="0" w:type="dxa"/>
            <w:bottom w:w="0" w:type="dxa"/>
            <w:right w:w="0" w:type="dxa"/>
          </w:tblCellMar>
        </w:tblPrEx>
        <w:trPr>
          <w:trHeight w:val="390" w:hRule="atLeast"/>
        </w:trPr>
        <w:tc>
          <w:tcPr>
            <w:tcW w:w="13695" w:type="dxa"/>
            <w:gridSpan w:val="10"/>
            <w:tcBorders>
              <w:top w:val="nil"/>
              <w:left w:val="nil"/>
              <w:bottom w:val="nil"/>
              <w:right w:val="nil"/>
            </w:tcBorders>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1887" w:type="dxa"/>
            <w:tcBorders>
              <w:top w:val="nil"/>
              <w:left w:val="nil"/>
              <w:bottom w:val="nil"/>
              <w:right w:val="nil"/>
            </w:tcBorders>
            <w:shd w:val="clear" w:color="auto" w:fill="FFFFFF"/>
            <w:tcMar>
              <w:top w:w="15" w:type="dxa"/>
              <w:left w:w="15" w:type="dxa"/>
              <w:right w:w="15" w:type="dxa"/>
            </w:tcMar>
            <w:vAlign w:val="bottom"/>
          </w:tcPr>
          <w:p>
            <w:pPr>
              <w:rPr>
                <w:rFonts w:hint="eastAsia" w:ascii="Arial" w:hAnsi="Arial" w:cs="Arial"/>
                <w:i w:val="0"/>
                <w:color w:val="000000"/>
                <w:sz w:val="20"/>
                <w:szCs w:val="20"/>
                <w:u w:val="none"/>
              </w:rPr>
            </w:pPr>
          </w:p>
        </w:tc>
        <w:tc>
          <w:tcPr>
            <w:tcW w:w="24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42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2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2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31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6612" w:type="dxa"/>
            <w:gridSpan w:val="4"/>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部门：许昌市建安区住房和城乡建设局</w:t>
            </w:r>
          </w:p>
        </w:tc>
        <w:tc>
          <w:tcPr>
            <w:tcW w:w="990"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24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12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318" w:type="dxa"/>
            <w:tcBorders>
              <w:top w:val="nil"/>
              <w:left w:val="nil"/>
              <w:bottom w:val="nil"/>
              <w:right w:val="nil"/>
            </w:tcBorders>
            <w:shd w:val="clear" w:color="auto" w:fill="FFFFFF"/>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61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9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24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418"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43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2367"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24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9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7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1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3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4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612"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6612"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39,156.95</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39,156.95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39,156.95</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1.65</w:t>
            </w: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39,156.95</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37,656.95</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城市公共设施</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棚户区改造专项债券收入安排的支出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其他棚户区改造专项债券收入安排的支出</w:t>
            </w: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36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4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695" w:type="dxa"/>
            <w:gridSpan w:val="10"/>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spacing w:beforeLines="0" w:afterLines="0" w:line="59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rPr>
        <w:t>2021年度收、支总计均为84,060.02万元。与上年度相比，收、支总计各增加41,188.05万元，增长96.07%。主要原因是</w:t>
      </w:r>
      <w:r>
        <w:rPr>
          <w:rFonts w:hint="eastAsia" w:ascii="仿宋_GB2312" w:hAnsi="仿宋_GB2312" w:eastAsia="仿宋_GB2312"/>
          <w:sz w:val="32"/>
          <w:szCs w:val="24"/>
          <w:lang w:val="en-US" w:eastAsia="zh-CN"/>
        </w:rPr>
        <w:t>政府性基金收入增加</w:t>
      </w:r>
      <w:r>
        <w:rPr>
          <w:rFonts w:hint="eastAsia" w:ascii="仿宋_GB2312" w:hAnsi="仿宋_GB2312" w:eastAsia="仿宋_GB2312"/>
          <w:sz w:val="32"/>
          <w:szCs w:val="24"/>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rPr>
        <w:t>2021年度收入合计84,052.34万元，其中：财政拨款收入</w:t>
      </w:r>
      <w:r>
        <w:rPr>
          <w:rFonts w:hint="eastAsia" w:ascii="仿宋_GB2312" w:hAnsi="仿宋_GB2312" w:eastAsia="仿宋_GB2312"/>
          <w:sz w:val="32"/>
          <w:szCs w:val="24"/>
          <w:lang w:val="en-US" w:eastAsia="zh-CN"/>
        </w:rPr>
        <w:t>84060.02</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100.00</w:t>
      </w:r>
      <w:r>
        <w:rPr>
          <w:rFonts w:hint="eastAsia" w:ascii="仿宋_GB2312" w:hAnsi="仿宋_GB2312" w:eastAsia="仿宋_GB2312"/>
          <w:sz w:val="32"/>
          <w:szCs w:val="24"/>
          <w:lang w:val="en-US"/>
        </w:rPr>
        <w:t>%；上级补助收入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%；事业收入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%；附属单位上缴收入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%；其他收入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spacing w:beforeLines="0" w:afterLines="0" w:line="59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lang w:val="en-US"/>
        </w:rPr>
        <w:t>2021年度支出合计84,060.02万元，其中：基本支出3,036.08万元，占3.61%；项目支出81,023.94万元，占96.39%；上缴上级支出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%；对附属单位补助支出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spacing w:beforeLines="0" w:afterLines="0" w:line="59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lang w:val="en-US"/>
        </w:rPr>
        <w:t>2021年度财政拨款收、支总计均为84,060.02万元。与上年度相比，财政拨款收、支总计各增加41,188.05万元，增长96.07%。主要原因是</w:t>
      </w:r>
      <w:r>
        <w:rPr>
          <w:rFonts w:hint="eastAsia" w:ascii="仿宋_GB2312" w:hAnsi="仿宋_GB2312" w:eastAsia="仿宋_GB2312"/>
          <w:sz w:val="32"/>
          <w:szCs w:val="24"/>
          <w:lang w:val="en-US" w:eastAsia="zh-CN"/>
        </w:rPr>
        <w:t>人员经费和政府性基金相应增加</w:t>
      </w:r>
      <w:r>
        <w:rPr>
          <w:rFonts w:hint="eastAsia" w:ascii="仿宋_GB2312" w:hAnsi="仿宋_GB2312" w:eastAsia="仿宋_GB2312"/>
          <w:sz w:val="32"/>
          <w:szCs w:val="24"/>
          <w:lang w:val="en-US"/>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spacing w:beforeLines="0" w:afterLines="0"/>
        <w:ind w:firstLine="640"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lang w:val="en-US"/>
        </w:rPr>
        <w:t>2021年度一般公共预算财政拨款支出44,903.07万元，占支出合计的53.42%。与上年度相比，一般公共预算财政拨款支出增加5,570.35万元，增长14.16%。主要原因是</w:t>
      </w:r>
      <w:r>
        <w:rPr>
          <w:rFonts w:hint="eastAsia" w:ascii="仿宋_GB2312" w:hAnsi="仿宋_GB2312" w:eastAsia="仿宋_GB2312" w:cs="仿宋_GB2312"/>
          <w:color w:val="auto"/>
          <w:sz w:val="32"/>
          <w:szCs w:val="32"/>
          <w:highlight w:val="none"/>
          <w:lang w:val="zh-CN" w:eastAsia="zh-CN"/>
        </w:rPr>
        <w:t>人员和经费项目相应增加</w:t>
      </w:r>
      <w:r>
        <w:rPr>
          <w:rFonts w:hint="eastAsia" w:ascii="仿宋_GB2312" w:hAnsi="仿宋_GB2312" w:eastAsia="仿宋_GB2312"/>
          <w:sz w:val="32"/>
          <w:szCs w:val="24"/>
          <w:lang w:val="en-US"/>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321" w:firstLineChars="1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spacing w:beforeLines="0" w:afterLines="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w:t>
      </w:r>
      <w:r>
        <w:rPr>
          <w:rFonts w:hint="eastAsia" w:ascii="仿宋_GB2312" w:hAnsi="仿宋_GB2312" w:eastAsia="仿宋_GB2312"/>
          <w:sz w:val="32"/>
          <w:szCs w:val="24"/>
          <w:lang w:val="en-US"/>
        </w:rPr>
        <w:t>44,903.07</w:t>
      </w:r>
      <w:r>
        <w:rPr>
          <w:rFonts w:hint="eastAsia" w:ascii="仿宋_GB2312" w:hAnsi="仿宋_GB2312" w:eastAsia="仿宋_GB2312" w:cs="仿宋_GB2312"/>
          <w:color w:val="auto"/>
          <w:sz w:val="32"/>
          <w:szCs w:val="32"/>
          <w:highlight w:val="none"/>
          <w:lang w:val="zh-CN" w:eastAsia="zh-CN"/>
        </w:rPr>
        <w:t>万元，主要用于以下方面：社会保障和就业（类）支出</w:t>
      </w:r>
      <w:r>
        <w:rPr>
          <w:rFonts w:hint="eastAsia" w:ascii="仿宋_GB2312" w:hAnsi="仿宋_GB2312" w:eastAsia="仿宋_GB2312" w:cs="仿宋_GB2312"/>
          <w:color w:val="auto"/>
          <w:sz w:val="32"/>
          <w:szCs w:val="32"/>
          <w:highlight w:val="none"/>
          <w:lang w:val="en-US" w:eastAsia="zh-CN"/>
        </w:rPr>
        <w:t>209.60</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lang w:val="zh-CN" w:eastAsia="zh-CN"/>
        </w:rPr>
        <w:t>%；城乡社区（类）支出</w:t>
      </w:r>
      <w:r>
        <w:rPr>
          <w:rFonts w:hint="eastAsia" w:ascii="仿宋_GB2312" w:hAnsi="仿宋_GB2312" w:eastAsia="仿宋_GB2312" w:cs="仿宋_GB2312"/>
          <w:color w:val="auto"/>
          <w:sz w:val="32"/>
          <w:szCs w:val="32"/>
          <w:highlight w:val="none"/>
          <w:lang w:val="en-US" w:eastAsia="zh-CN"/>
        </w:rPr>
        <w:t>44129.00万元，占98.28%；自然资源海洋气象（类）支出325.97万元，占0.72%；住房保障（类）支出238.50万元，占0.53%</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spacing w:beforeLines="0" w:afterLines="0" w:line="590" w:lineRule="exact"/>
        <w:ind w:firstLine="640"/>
      </w:pPr>
      <w:r>
        <w:rPr>
          <w:rFonts w:hint="eastAsia" w:ascii="仿宋_GB2312" w:hAnsi="仿宋_GB2312" w:eastAsia="仿宋_GB2312"/>
          <w:sz w:val="32"/>
          <w:szCs w:val="24"/>
          <w:lang w:val="en-US"/>
        </w:rPr>
        <w:t>2021年度一般公共预算财政拨款支出年初预算为3,766.3</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万元，支出决算为44,903.07万元，完成年初预算的1,192.23%。其中：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1．社会保障和就业支出（类）行政事业单位养老支出（款）行政单位离退休（项）。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年初预算为42.70万元，支出决算为42.91万元，完成年初预算的100.49%。决算数与年初预算数存在差异的主要原因</w:t>
      </w:r>
      <w:r>
        <w:rPr>
          <w:rFonts w:hint="eastAsia" w:ascii="仿宋_GB2312" w:hAnsi="仿宋_GB2312" w:eastAsia="仿宋_GB2312" w:cs="仿宋_GB2312"/>
          <w:color w:val="auto"/>
          <w:sz w:val="32"/>
          <w:szCs w:val="32"/>
          <w:highlight w:val="none"/>
          <w:lang w:val="zh-CN" w:eastAsia="zh-CN"/>
        </w:rPr>
        <w:t>我部门今年行政退休人员增加。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年初预算为59.25万元，支出决算为166.69万元，完成年初预算的281.33%。决算数与年初预算数存在差异的主要原因是我部门事业退休人员增加。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年初预算为310.93万元，支出决算为367.96万元，完成年初预算的118.34%。决算数与年初预算数存在差异的主要原因是我部门今年人员工资标准提高，经费增加。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4.城乡社区支出（类）城乡社区管理事务（款）工程建设标准规范编制与监管（项）。</w:t>
      </w:r>
      <w:r>
        <w:rPr>
          <w:rFonts w:hint="eastAsia" w:ascii="仿宋_GB2312" w:hAnsi="仿宋_GB2312" w:eastAsia="仿宋_GB2312" w:cs="仿宋_GB2312"/>
          <w:color w:val="auto"/>
          <w:sz w:val="32"/>
          <w:szCs w:val="32"/>
          <w:highlight w:val="none"/>
          <w:lang w:val="en-US" w:eastAsia="zh-CN"/>
        </w:rPr>
        <w:t>年初预算为198.61万元，支出决算为207.76万元，完成年初预算的104.61%。决算数与年初预算数存在差异的主要原因是我部门二级机构人员增加。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5.城乡社区支出（类）城乡社区管理事务（款）工程建设管理（项）。</w:t>
      </w:r>
      <w:r>
        <w:rPr>
          <w:rFonts w:hint="eastAsia" w:ascii="仿宋_GB2312" w:hAnsi="仿宋_GB2312" w:eastAsia="仿宋_GB2312" w:cs="仿宋_GB2312"/>
          <w:color w:val="auto"/>
          <w:sz w:val="32"/>
          <w:szCs w:val="32"/>
          <w:highlight w:val="none"/>
          <w:lang w:val="en-US" w:eastAsia="zh-CN"/>
        </w:rPr>
        <w:t>年初预算为521.34万元，支出决算为573.38万元，完成年初预算的109.98%。决算数与年初预算数存在差异的主要原因是我部门今年人员工资标准提高。</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6.城乡社区支出（类）城乡社区管理事务（款）市政公用行业市场监管（项）。</w:t>
      </w:r>
      <w:r>
        <w:rPr>
          <w:rFonts w:hint="eastAsia" w:ascii="仿宋_GB2312" w:hAnsi="仿宋_GB2312" w:eastAsia="仿宋_GB2312" w:cs="仿宋_GB2312"/>
          <w:color w:val="auto"/>
          <w:sz w:val="32"/>
          <w:szCs w:val="32"/>
          <w:highlight w:val="none"/>
          <w:lang w:val="en-US" w:eastAsia="zh-CN"/>
        </w:rPr>
        <w:t>年初预算为159.41万元，支出决算为161.30万元，完成年初预算的101.19%。决算数与年初预算数存在差异的主要原因是我部门二级机构人员增加。</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7.城乡社区支出（类）城乡社区管理事务（款）其他城乡社区管理事务支出（项）。</w:t>
      </w:r>
      <w:r>
        <w:rPr>
          <w:rFonts w:hint="eastAsia" w:ascii="仿宋_GB2312" w:hAnsi="仿宋_GB2312" w:eastAsia="仿宋_GB2312" w:cs="仿宋_GB2312"/>
          <w:color w:val="auto"/>
          <w:sz w:val="32"/>
          <w:szCs w:val="32"/>
          <w:highlight w:val="none"/>
          <w:lang w:val="en-US" w:eastAsia="zh-CN"/>
        </w:rPr>
        <w:t>年初预算为1289.05万元，支出决算为1190.11万元，完成年初预算的92.32%。决算数与年初预算数存在差异的</w:t>
      </w:r>
      <w:r>
        <w:rPr>
          <w:rFonts w:hint="eastAsia" w:ascii="仿宋_GB2312" w:hAnsi="仿宋_GB2312" w:eastAsia="仿宋_GB2312" w:cs="仿宋_GB2312"/>
          <w:color w:val="auto"/>
          <w:sz w:val="32"/>
          <w:szCs w:val="32"/>
          <w:highlight w:val="none"/>
          <w:lang w:val="zh-CN" w:eastAsia="zh-CN"/>
        </w:rPr>
        <w:t>主要原因是我部门二级机构人员和经费项目相应</w:t>
      </w:r>
      <w:r>
        <w:rPr>
          <w:rFonts w:hint="eastAsia" w:ascii="仿宋_GB2312" w:hAnsi="仿宋_GB2312" w:eastAsia="仿宋_GB2312" w:cs="仿宋_GB2312"/>
          <w:color w:val="auto"/>
          <w:sz w:val="32"/>
          <w:szCs w:val="32"/>
          <w:highlight w:val="none"/>
          <w:lang w:val="en-US" w:eastAsia="zh-CN"/>
        </w:rPr>
        <w:t>减少</w:t>
      </w:r>
      <w:r>
        <w:rPr>
          <w:rFonts w:hint="eastAsia" w:ascii="仿宋_GB2312" w:hAnsi="仿宋_GB2312" w:eastAsia="仿宋_GB2312" w:cs="仿宋_GB2312"/>
          <w:color w:val="auto"/>
          <w:sz w:val="32"/>
          <w:szCs w:val="32"/>
          <w:highlight w:val="none"/>
          <w:lang w:val="zh-CN" w:eastAsia="zh-CN"/>
        </w:rPr>
        <w:t>。</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8.城乡社区支出（类）城乡社区公共设施（款）其他城乡社区公共设施支出（项）。</w:t>
      </w:r>
      <w:r>
        <w:rPr>
          <w:rFonts w:hint="eastAsia" w:ascii="仿宋_GB2312" w:hAnsi="仿宋_GB2312" w:eastAsia="仿宋_GB2312" w:cs="仿宋_GB2312"/>
          <w:color w:val="auto"/>
          <w:sz w:val="32"/>
          <w:szCs w:val="32"/>
          <w:highlight w:val="none"/>
          <w:lang w:val="en-US" w:eastAsia="zh-CN"/>
        </w:rPr>
        <w:t>年初预算为164.56万元，支出决算为41628.49万元，完成年初预算的83256.98%。决算数与年初预算数存在差异的</w:t>
      </w:r>
      <w:r>
        <w:rPr>
          <w:rFonts w:hint="eastAsia" w:ascii="仿宋_GB2312" w:hAnsi="仿宋_GB2312" w:eastAsia="仿宋_GB2312" w:cs="仿宋_GB2312"/>
          <w:color w:val="auto"/>
          <w:sz w:val="32"/>
          <w:szCs w:val="32"/>
          <w:highlight w:val="none"/>
          <w:lang w:val="zh-CN" w:eastAsia="zh-CN"/>
        </w:rPr>
        <w:t>主要原因是该项目资金新增当年临时性支出。</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9.自然资源海洋气象（类）自然资源事务（款） 事业运行（项）。</w:t>
      </w:r>
      <w:r>
        <w:rPr>
          <w:rFonts w:hint="eastAsia" w:ascii="仿宋_GB2312" w:hAnsi="仿宋_GB2312" w:eastAsia="仿宋_GB2312" w:cs="仿宋_GB2312"/>
          <w:color w:val="auto"/>
          <w:sz w:val="32"/>
          <w:szCs w:val="32"/>
          <w:highlight w:val="none"/>
          <w:lang w:val="en-US" w:eastAsia="zh-CN"/>
        </w:rPr>
        <w:t>年初预算为0.00万元，支出决算为325.97万元。决算数与年初预算数存在差异的</w:t>
      </w:r>
      <w:r>
        <w:rPr>
          <w:rFonts w:hint="eastAsia" w:ascii="仿宋_GB2312" w:hAnsi="仿宋_GB2312" w:eastAsia="仿宋_GB2312" w:cs="仿宋_GB2312"/>
          <w:color w:val="auto"/>
          <w:sz w:val="32"/>
          <w:szCs w:val="32"/>
          <w:highlight w:val="none"/>
          <w:lang w:val="zh-CN" w:eastAsia="zh-CN"/>
        </w:rPr>
        <w:t>主要原因是房管局年中因机构改革划归至住建局二级机构。</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10.住房保障支出（类）保障性安居工程支出（款）农村危房改造（项）。</w:t>
      </w:r>
      <w:r>
        <w:rPr>
          <w:rFonts w:hint="eastAsia" w:ascii="仿宋_GB2312" w:hAnsi="仿宋_GB2312" w:eastAsia="仿宋_GB2312" w:cs="仿宋_GB2312"/>
          <w:color w:val="auto"/>
          <w:sz w:val="32"/>
          <w:szCs w:val="32"/>
          <w:highlight w:val="none"/>
          <w:lang w:val="en-US" w:eastAsia="zh-CN"/>
        </w:rPr>
        <w:t>年初预算为2.20万元，支出决算为8.50万元，完成年初预算的386.36%。决算数与年初预算数存在差异的</w:t>
      </w:r>
      <w:r>
        <w:rPr>
          <w:rFonts w:hint="eastAsia" w:ascii="仿宋_GB2312" w:hAnsi="仿宋_GB2312" w:eastAsia="仿宋_GB2312" w:cs="仿宋_GB2312"/>
          <w:color w:val="auto"/>
          <w:sz w:val="32"/>
          <w:szCs w:val="32"/>
          <w:highlight w:val="none"/>
          <w:lang w:val="zh-CN" w:eastAsia="zh-CN"/>
        </w:rPr>
        <w:t>主要原因是我部门今年农村危房改造项目支出</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210" w:leftChars="-100" w:firstLine="643"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11.住房保障支出（类）保障性安居工程支出（款）老旧小区改造（项）。</w:t>
      </w:r>
      <w:r>
        <w:rPr>
          <w:rFonts w:hint="eastAsia" w:ascii="仿宋_GB2312" w:hAnsi="仿宋_GB2312" w:eastAsia="仿宋_GB2312" w:cs="仿宋_GB2312"/>
          <w:color w:val="auto"/>
          <w:sz w:val="32"/>
          <w:szCs w:val="32"/>
          <w:highlight w:val="none"/>
          <w:lang w:val="en-US" w:eastAsia="zh-CN"/>
        </w:rPr>
        <w:t>年初预算为490.00万元，支出决算为230.00万元，完成年初预算的46.94%。</w:t>
      </w:r>
      <w:r>
        <w:rPr>
          <w:rFonts w:hint="eastAsia" w:ascii="仿宋_GB2312" w:hAnsi="仿宋_GB2312" w:eastAsia="仿宋_GB2312" w:cs="仿宋_GB2312"/>
          <w:color w:val="000000"/>
          <w:sz w:val="32"/>
          <w:szCs w:val="32"/>
        </w:rPr>
        <w:t>决算数与年初预算数存在差异的原因是</w:t>
      </w:r>
      <w:r>
        <w:rPr>
          <w:rFonts w:hint="eastAsia" w:ascii="仿宋_GB2312" w:hAnsi="仿宋_GB2312" w:eastAsia="仿宋_GB2312" w:cs="仿宋_GB2312"/>
          <w:color w:val="auto"/>
          <w:sz w:val="32"/>
          <w:szCs w:val="32"/>
          <w:highlight w:val="none"/>
          <w:lang w:val="zh-CN" w:eastAsia="zh-CN"/>
        </w:rPr>
        <w:t>我部门今年</w:t>
      </w:r>
      <w:r>
        <w:rPr>
          <w:rFonts w:hint="eastAsia" w:ascii="仿宋_GB2312" w:hAnsi="仿宋_GB2312" w:eastAsia="仿宋_GB2312" w:cs="仿宋_GB2312"/>
          <w:color w:val="auto"/>
          <w:sz w:val="32"/>
          <w:szCs w:val="32"/>
          <w:highlight w:val="none"/>
          <w:lang w:val="en-US" w:eastAsia="zh-CN"/>
        </w:rPr>
        <w:t>老旧小区</w:t>
      </w:r>
      <w:r>
        <w:rPr>
          <w:rFonts w:hint="eastAsia" w:ascii="仿宋_GB2312" w:hAnsi="仿宋_GB2312" w:eastAsia="仿宋_GB2312" w:cs="仿宋_GB2312"/>
          <w:color w:val="auto"/>
          <w:sz w:val="32"/>
          <w:szCs w:val="32"/>
          <w:highlight w:val="none"/>
          <w:lang w:val="zh-CN" w:eastAsia="zh-CN"/>
        </w:rPr>
        <w:t>改造项目支出</w:t>
      </w:r>
      <w:r>
        <w:rPr>
          <w:rFonts w:hint="eastAsia" w:ascii="仿宋_GB2312" w:hAnsi="仿宋_GB2312" w:eastAsia="仿宋_GB2312" w:cs="仿宋_GB2312"/>
          <w:color w:val="auto"/>
          <w:sz w:val="32"/>
          <w:szCs w:val="32"/>
          <w:highlight w:val="none"/>
          <w:lang w:val="en-US" w:eastAsia="zh-CN"/>
        </w:rPr>
        <w:t>减少</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一般公共预算财政拨款基本支出3,036.08万元。其中：人员经费2,873.58万元，主要包括：基本工资、津贴补贴、绩效工资、机关事业单位基本养老保险缴费、职业年金缴费、其他社会保障缴费、其他工资福利支出、退休费、生活补助；公用经费162.5</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万元，主要包括：办公费、印刷费、咨询费、邮电费、差旅费、维修（护）费、会议费、劳务费、委托业务费、福利费、其他交通费用。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经费支出决算数与预算数存在差异的主要原因是响应国家号召，严格把控三公经费支出。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%；公务用车购置及运行费支出决算0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%；公务接待费支出决算0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%；具体情况如下</w:t>
      </w:r>
      <w:r>
        <w:rPr>
          <w:rFonts w:hint="eastAsia" w:ascii="仿宋_GB2312" w:hAnsi="仿宋_GB2312" w:eastAsia="仿宋_GB2312" w:cs="仿宋_GB2312"/>
          <w:color w:val="auto"/>
          <w:sz w:val="32"/>
          <w:szCs w:val="32"/>
          <w:highlight w:val="none"/>
          <w:lang w:val="zh-CN" w:eastAsia="zh-CN"/>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年初预算为0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万元，完成年初预算的0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%，决算数与年初预算数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因公出国（境）团组数0个，因公出国（境）人次数0人。</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2．公务用车购置及运行费</w:t>
      </w:r>
      <w:r>
        <w:rPr>
          <w:rFonts w:hint="eastAsia" w:ascii="仿宋_GB2312" w:hAnsi="仿宋_GB2312" w:eastAsia="仿宋_GB2312"/>
          <w:sz w:val="32"/>
          <w:szCs w:val="24"/>
          <w:lang w:val="en-US"/>
        </w:rPr>
        <w:t>年初预算为0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万元，完成年初预算的0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%，决算数与年初预算数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存在差异。其中：</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公务用车购置支出</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万元，购置车辆</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台。</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公务用车运行支出</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万元。2021年期末，单位开支财政拨款的公务用车保有量为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量。</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3.公务接待费</w:t>
      </w:r>
      <w:r>
        <w:rPr>
          <w:rFonts w:hint="eastAsia" w:ascii="仿宋_GB2312" w:hAnsi="仿宋_GB2312" w:eastAsia="仿宋_GB2312"/>
          <w:sz w:val="32"/>
          <w:szCs w:val="24"/>
          <w:lang w:val="en-US"/>
        </w:rPr>
        <w:t>年初预算为0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万元，完成年初预算的0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%。决算数与年初预算数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存在差异。其中：</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b/>
          <w:sz w:val="32"/>
          <w:szCs w:val="24"/>
          <w:lang w:val="en-US"/>
        </w:rPr>
        <w:t>外宾接待支出</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万元。2021年共接待国（境）外来访团组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个、来访外宾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spacing w:beforeLines="0" w:afterLines="0" w:line="59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b/>
          <w:sz w:val="32"/>
          <w:szCs w:val="24"/>
          <w:lang w:val="en-US"/>
        </w:rPr>
        <w:t>其他国内公务接待支出</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万元。2021年共接待国内来访团组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2021年度政府性基金预算财政拨款支出年初预算为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万元，支出决算为39,156.95万元。</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eastAsia" w:ascii="仿宋_GB2312" w:hAnsi="仿宋_GB2312" w:eastAsia="仿宋_GB2312"/>
          <w:sz w:val="32"/>
          <w:szCs w:val="24"/>
          <w:lang w:val="en-US"/>
        </w:rPr>
        <w:t>主要用于国有土地使用权出让收入安排的支出</w:t>
      </w:r>
      <w:r>
        <w:rPr>
          <w:rFonts w:hint="eastAsia" w:ascii="仿宋_GB2312" w:hAnsi="仿宋_GB2312" w:eastAsia="仿宋_GB2312"/>
          <w:sz w:val="32"/>
          <w:szCs w:val="24"/>
          <w:lang w:val="en-US" w:eastAsia="zh-CN"/>
        </w:rPr>
        <w:t>和</w:t>
      </w:r>
      <w:r>
        <w:rPr>
          <w:rFonts w:hint="eastAsia" w:ascii="仿宋_GB2312" w:hAnsi="仿宋_GB2312" w:eastAsia="仿宋_GB2312"/>
          <w:sz w:val="32"/>
          <w:szCs w:val="24"/>
          <w:lang w:val="en-US"/>
        </w:rPr>
        <w:t>棚户区改造专项债券收入安排的支出。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2021年度机关运行经费年初预算为18.9万元，支出决66.70万元，完成年初预</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52.91%。决算数与年初预算数存在差异的主要原因是</w:t>
      </w:r>
      <w:r>
        <w:rPr>
          <w:rFonts w:hint="default" w:ascii="仿宋_GB2312" w:hAnsi="仿宋_GB2312" w:eastAsia="仿宋_GB2312" w:cs="仿宋_GB2312"/>
          <w:color w:val="auto"/>
          <w:sz w:val="32"/>
          <w:szCs w:val="32"/>
          <w:highlight w:val="none"/>
          <w:lang w:eastAsia="zh-CN"/>
        </w:rPr>
        <w:t>我部门今年</w:t>
      </w:r>
      <w:r>
        <w:rPr>
          <w:rFonts w:hint="eastAsia" w:ascii="仿宋_GB2312" w:hAnsi="仿宋_GB2312" w:eastAsia="仿宋_GB2312" w:cs="仿宋_GB2312"/>
          <w:color w:val="auto"/>
          <w:sz w:val="32"/>
          <w:szCs w:val="32"/>
          <w:highlight w:val="none"/>
          <w:lang w:eastAsia="zh-CN"/>
        </w:rPr>
        <w:t>因工作量增加，</w:t>
      </w:r>
      <w:r>
        <w:rPr>
          <w:rFonts w:hint="default" w:ascii="仿宋_GB2312" w:hAnsi="仿宋_GB2312" w:eastAsia="仿宋_GB2312" w:cs="仿宋_GB2312"/>
          <w:color w:val="auto"/>
          <w:sz w:val="32"/>
          <w:szCs w:val="32"/>
          <w:highlight w:val="none"/>
          <w:lang w:eastAsia="zh-CN"/>
        </w:rPr>
        <w:t>机关运行经费支出</w:t>
      </w:r>
      <w:r>
        <w:rPr>
          <w:rFonts w:hint="eastAsia" w:ascii="仿宋_GB2312" w:hAnsi="仿宋_GB2312" w:eastAsia="仿宋_GB2312" w:cs="仿宋_GB2312"/>
          <w:color w:val="auto"/>
          <w:sz w:val="32"/>
          <w:szCs w:val="32"/>
          <w:highlight w:val="none"/>
          <w:lang w:eastAsia="zh-CN"/>
        </w:rPr>
        <w:t>也相应增加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spacing w:beforeLines="0" w:afterLines="0" w:line="59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lang w:val="en-US"/>
        </w:rPr>
        <w:t>2021年度政府采购支出总额0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万元，其中：政府采购货物支出0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万元、政府采购工程支出0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万元、政府采购服务支出0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万元。授予中小企业合同金额0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万元，占政府采购支出总额的0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%,其中：授予小微企业合同金额0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万元，占政府采购支出总额的0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lang w:val="en-US"/>
        </w:rPr>
      </w:pPr>
      <w:r>
        <w:rPr>
          <w:rFonts w:hint="eastAsia" w:ascii="黑体" w:hAnsi="黑体" w:eastAsia="黑体" w:cs="黑体"/>
          <w:color w:val="auto"/>
          <w:sz w:val="32"/>
          <w:szCs w:val="32"/>
          <w:highlight w:val="none"/>
          <w:lang w:val="en-US" w:eastAsia="zh-CN"/>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spacing w:beforeLines="0" w:after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十二、预算绩效情况说明</w:t>
      </w:r>
    </w:p>
    <w:p>
      <w:pPr>
        <w:spacing w:beforeLines="0" w:afterLines="0" w:line="590" w:lineRule="exact"/>
        <w:ind w:firstLine="640"/>
        <w:rPr>
          <w:rFonts w:hint="default" w:ascii="Times New Roman" w:hAnsi="Times New Roman" w:eastAsia="Times New Roman"/>
          <w:b/>
          <w:sz w:val="32"/>
          <w:szCs w:val="24"/>
          <w:highlight w:val="none"/>
          <w:lang w:val="en-US"/>
        </w:rPr>
      </w:pPr>
      <w:r>
        <w:rPr>
          <w:rFonts w:hint="eastAsia" w:ascii="楷体_GB2312" w:hAnsi="楷体_GB2312" w:eastAsia="楷体_GB2312"/>
          <w:b/>
          <w:sz w:val="32"/>
          <w:szCs w:val="24"/>
          <w:highlight w:val="none"/>
          <w:lang w:val="en-US"/>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Times New Roman"/>
          <w:sz w:val="32"/>
          <w:szCs w:val="24"/>
          <w:highlight w:val="none"/>
          <w:lang w:val="en-US"/>
        </w:rPr>
      </w:pPr>
      <w:r>
        <w:rPr>
          <w:rFonts w:hint="eastAsia" w:ascii="仿宋_GB2312" w:hAnsi="仿宋_GB2312" w:eastAsia="仿宋_GB2312" w:cs="仿宋_GB2312"/>
          <w:color w:val="auto"/>
          <w:sz w:val="32"/>
          <w:szCs w:val="32"/>
          <w:highlight w:val="none"/>
          <w:lang w:val="en-US" w:eastAsia="zh-CN"/>
        </w:rPr>
        <w:t>我部门按照《许昌市建安区财政局关于开展2021年度区级预算项目绩效自评工作的通知》（建安财效〔2022〕2号）文件要求，对本部门整体支出和项目支出开展全过程预算绩效管理。2021年我单位纳入预算绩效管理的支出总额为84060.02万元，其中：基本支出3036.08万元；支出项目35个，支出金额81023.94万元。开展项目绩效自评项目35个，自评金额81023.94万元；纳入重点绩效评价0个，评价金额0.00万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部门（单位）整体和项目绩效自评结果。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按照《许昌市财政局关于开展2021年度市级预算绩效自评工作的通知》（许财效）〔2021〕1号）等文件精神，我部门对本部门整体绩效目标和项目支出绩效目标进行了自评。一是部门整体绩效自评情况：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。二是项目绩效自评情况。我部门共有35个项目批复了绩效目标。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bookmarkStart w:id="0" w:name="_GoBack"/>
      <w:bookmarkEnd w:id="0"/>
    </w:p>
    <w:p>
      <w:pPr>
        <w:widowControl/>
        <w:numPr>
          <w:ilvl w:val="0"/>
          <w:numId w:val="0"/>
        </w:num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许昌市建安区住房和城乡建设局</w:t>
      </w:r>
      <w:r>
        <w:rPr>
          <w:rFonts w:hint="eastAsia" w:ascii="仿宋_GB2312" w:hAnsi="仿宋_GB2312" w:eastAsia="仿宋_GB2312" w:cs="仿宋_GB2312"/>
          <w:kern w:val="0"/>
          <w:sz w:val="32"/>
          <w:szCs w:val="32"/>
          <w:lang w:eastAsia="zh-CN"/>
        </w:rPr>
        <w:t>（本级）</w:t>
      </w:r>
      <w:r>
        <w:rPr>
          <w:rFonts w:hint="eastAsia" w:ascii="仿宋_GB2312" w:hAnsi="仿宋_GB2312" w:eastAsia="仿宋_GB2312" w:cs="仿宋_GB2312"/>
          <w:kern w:val="0"/>
          <w:sz w:val="32"/>
          <w:szCs w:val="32"/>
          <w:lang w:val="en-US" w:eastAsia="zh-CN"/>
        </w:rPr>
        <w:t>35个</w:t>
      </w:r>
    </w:p>
    <w:p>
      <w:pPr>
        <w:widowControl/>
        <w:numPr>
          <w:ilvl w:val="0"/>
          <w:numId w:val="0"/>
        </w:numPr>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2.许昌市建安区市政</w:t>
      </w:r>
      <w:r>
        <w:rPr>
          <w:rFonts w:hint="eastAsia" w:ascii="仿宋_GB2312" w:hAnsi="仿宋_GB2312" w:eastAsia="仿宋_GB2312" w:cs="仿宋_GB2312"/>
          <w:kern w:val="0"/>
          <w:sz w:val="32"/>
          <w:szCs w:val="32"/>
          <w:lang w:eastAsia="zh-CN"/>
        </w:rPr>
        <w:t>管护所</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.许昌市建安区建设工程质量监督站</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.许昌市建安区建筑工程标准定额管理站</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.许昌市建安区</w:t>
      </w:r>
      <w:r>
        <w:rPr>
          <w:rFonts w:hint="eastAsia" w:ascii="仿宋_GB2312" w:hAnsi="仿宋_GB2312" w:eastAsia="仿宋_GB2312" w:cs="仿宋_GB2312"/>
          <w:kern w:val="0"/>
          <w:sz w:val="32"/>
          <w:szCs w:val="32"/>
          <w:lang w:eastAsia="zh-CN"/>
        </w:rPr>
        <w:t>房屋征收中心</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.许昌市建安区城建监察大队</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.许昌市建安区</w:t>
      </w:r>
      <w:r>
        <w:rPr>
          <w:rFonts w:hint="eastAsia" w:ascii="仿宋_GB2312" w:hAnsi="仿宋_GB2312" w:eastAsia="仿宋_GB2312" w:cs="仿宋_GB2312"/>
          <w:kern w:val="0"/>
          <w:sz w:val="32"/>
          <w:szCs w:val="32"/>
          <w:lang w:eastAsia="zh-CN"/>
        </w:rPr>
        <w:t>房产管理局</w:t>
      </w:r>
      <w:r>
        <w:rPr>
          <w:rFonts w:hint="eastAsia" w:ascii="仿宋_GB2312" w:hAnsi="仿宋_GB2312" w:eastAsia="仿宋_GB2312" w:cs="仿宋_GB2312"/>
          <w:kern w:val="0"/>
          <w:sz w:val="32"/>
          <w:szCs w:val="32"/>
          <w:lang w:val="en-US" w:eastAsia="zh-CN"/>
        </w:rPr>
        <w:t>0个</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8、许昌市建安区室内装饰行业发展服务中心0个</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9、许昌市建安区城镇住房制度改革办公室0个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98.00分。其中：20个项目评价等级为“优”、10个项目评价等级为“良”、5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pStyle w:val="2"/>
        <w:ind w:left="0"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我部门选取0个项目开展了部门重点评价。</w:t>
      </w:r>
      <w:r>
        <w:rPr>
          <w:rFonts w:hint="eastAsia" w:ascii="仿宋_GB2312" w:hAnsi="仿宋_GB2312" w:eastAsia="仿宋_GB2312" w:cs="仿宋_GB2312"/>
          <w:color w:val="000000"/>
          <w:sz w:val="32"/>
          <w:szCs w:val="32"/>
          <w:highlight w:val="none"/>
          <w:lang w:val="en-US" w:eastAsia="zh-CN"/>
        </w:rPr>
        <w:t>2021年，</w:t>
      </w:r>
      <w:r>
        <w:rPr>
          <w:rFonts w:hint="eastAsia" w:ascii="仿宋_GB2312" w:hAnsi="仿宋_GB2312" w:eastAsia="仿宋_GB2312" w:cs="仿宋_GB2312"/>
          <w:color w:val="auto"/>
          <w:sz w:val="32"/>
          <w:szCs w:val="32"/>
          <w:highlight w:val="none"/>
          <w:lang w:val="en-US" w:eastAsia="zh-CN"/>
        </w:rPr>
        <w:t>许昌市建安区财政局选取我部门</w:t>
      </w:r>
      <w:r>
        <w:rPr>
          <w:rFonts w:hint="eastAsia" w:ascii="仿宋_GB2312" w:hAnsi="仿宋_GB2312" w:eastAsia="仿宋_GB2312" w:cs="仿宋_GB2312"/>
          <w:color w:val="000000"/>
          <w:sz w:val="32"/>
          <w:szCs w:val="32"/>
          <w:highlight w:val="none"/>
          <w:lang w:val="en-US" w:eastAsia="zh-CN"/>
        </w:rPr>
        <w:t>：中央财政城镇保障性安居工程补助资金项目开展财政重点评价。其中：</w:t>
      </w:r>
    </w:p>
    <w:p>
      <w:pPr>
        <w:pStyle w:val="2"/>
        <w:ind w:left="0" w:leftChars="0" w:firstLine="640" w:firstLineChars="200"/>
        <w:jc w:val="both"/>
        <w:rPr>
          <w:highlight w:val="none"/>
        </w:rPr>
      </w:pPr>
      <w:r>
        <w:rPr>
          <w:rFonts w:hint="eastAsia" w:ascii="仿宋_GB2312" w:hAnsi="仿宋_GB2312" w:eastAsia="仿宋_GB2312" w:cs="仿宋_GB2312"/>
          <w:color w:val="000000"/>
          <w:sz w:val="32"/>
          <w:szCs w:val="32"/>
          <w:highlight w:val="none"/>
          <w:lang w:val="en-US" w:eastAsia="zh-CN"/>
        </w:rPr>
        <w:t>中央财政城镇保障性安居工程补助资金项目评价得分：   88.50分，等次为“良”。</w:t>
      </w:r>
    </w:p>
    <w:p>
      <w:pPr>
        <w:pStyle w:val="2"/>
        <w:rPr>
          <w:rFonts w:hint="eastAsia"/>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ud5/jAQAAvAMAAA4A&#10;AAAAAAAAAQAgAAAAHgEAAGRycy9lMm9Eb2MueG1sUEsFBgAAAAAGAAYAWQEAAHM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vert="horz" wrap="none" lIns="0" tIns="0" rIns="0" bIns="0" anchor="t"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D9vcFDjAQAAvAMAAA4A&#10;AAAAAAAAAQAgAAAAHgEAAGRycy9lMm9Eb2MueG1sUEsFBgAAAAAGAAYAWQEAAHM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4E388F89"/>
    <w:multiLevelType w:val="singleLevel"/>
    <w:tmpl w:val="4E388F8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172A27"/>
    <w:rsid w:val="019A6C6C"/>
    <w:rsid w:val="027957EF"/>
    <w:rsid w:val="02923287"/>
    <w:rsid w:val="0365214C"/>
    <w:rsid w:val="03C0393E"/>
    <w:rsid w:val="040F4CE5"/>
    <w:rsid w:val="09CD27F9"/>
    <w:rsid w:val="0C7D0859"/>
    <w:rsid w:val="113969C6"/>
    <w:rsid w:val="12200D26"/>
    <w:rsid w:val="146D0443"/>
    <w:rsid w:val="14E91784"/>
    <w:rsid w:val="15951925"/>
    <w:rsid w:val="17D4703A"/>
    <w:rsid w:val="18C272A1"/>
    <w:rsid w:val="18D35635"/>
    <w:rsid w:val="1A4D67C7"/>
    <w:rsid w:val="1AB73F82"/>
    <w:rsid w:val="1C20338F"/>
    <w:rsid w:val="1F274E78"/>
    <w:rsid w:val="20CA499C"/>
    <w:rsid w:val="20E30C79"/>
    <w:rsid w:val="21CA3785"/>
    <w:rsid w:val="25BF68AD"/>
    <w:rsid w:val="2A2F3CB2"/>
    <w:rsid w:val="30590093"/>
    <w:rsid w:val="30EE7E08"/>
    <w:rsid w:val="38E21D94"/>
    <w:rsid w:val="3DA63472"/>
    <w:rsid w:val="40C865DF"/>
    <w:rsid w:val="42CB2D6A"/>
    <w:rsid w:val="46516ED1"/>
    <w:rsid w:val="4AE72A13"/>
    <w:rsid w:val="4D966AFD"/>
    <w:rsid w:val="4EFE140B"/>
    <w:rsid w:val="4F0B5C30"/>
    <w:rsid w:val="52D61B21"/>
    <w:rsid w:val="589E6FB8"/>
    <w:rsid w:val="59765FAB"/>
    <w:rsid w:val="59D2488F"/>
    <w:rsid w:val="59FD5F9E"/>
    <w:rsid w:val="5A981A80"/>
    <w:rsid w:val="5AE06944"/>
    <w:rsid w:val="5D8F31C2"/>
    <w:rsid w:val="610C4B2A"/>
    <w:rsid w:val="617F2279"/>
    <w:rsid w:val="626148F8"/>
    <w:rsid w:val="62FA526B"/>
    <w:rsid w:val="637D021F"/>
    <w:rsid w:val="652215EA"/>
    <w:rsid w:val="6740552D"/>
    <w:rsid w:val="67EF61C7"/>
    <w:rsid w:val="68EC774A"/>
    <w:rsid w:val="6A03236B"/>
    <w:rsid w:val="6A7664F1"/>
    <w:rsid w:val="6ABA220A"/>
    <w:rsid w:val="6B30409D"/>
    <w:rsid w:val="6C3F20DF"/>
    <w:rsid w:val="70D269D2"/>
    <w:rsid w:val="711A6320"/>
    <w:rsid w:val="72ED47BB"/>
    <w:rsid w:val="7523004F"/>
    <w:rsid w:val="765A7D3B"/>
    <w:rsid w:val="77007CC7"/>
    <w:rsid w:val="789A5403"/>
    <w:rsid w:val="7C243E50"/>
    <w:rsid w:val="7CF26EE1"/>
    <w:rsid w:val="7EC42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5">
    <w:name w:val="annotation text"/>
    <w:basedOn w:val="1"/>
    <w:qFormat/>
    <w:uiPriority w:val="0"/>
    <w:pPr>
      <w:jc w:val="left"/>
    </w:pPr>
  </w:style>
  <w:style w:type="paragraph" w:styleId="6">
    <w:name w:val="Balloon Text"/>
    <w:basedOn w:val="1"/>
    <w:link w:val="20"/>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paragraph" w:customStyle="1" w:styleId="15">
    <w:name w:val="标题1"/>
    <w:basedOn w:val="4"/>
    <w:qFormat/>
    <w:uiPriority w:val="0"/>
    <w:pPr>
      <w:spacing w:before="0" w:beforeLines="0" w:after="0" w:afterLines="0" w:line="240" w:lineRule="auto"/>
      <w:jc w:val="center"/>
    </w:pPr>
    <w:rPr>
      <w:rFonts w:ascii="华文中宋" w:hAnsi="华文中宋" w:eastAsia="华文中宋"/>
      <w:sz w:val="36"/>
      <w:szCs w:val="36"/>
    </w:rPr>
  </w:style>
  <w:style w:type="character" w:customStyle="1" w:styleId="16">
    <w:name w:val="页脚 Char Char"/>
    <w:link w:val="7"/>
    <w:qFormat/>
    <w:uiPriority w:val="0"/>
    <w:rPr>
      <w:kern w:val="2"/>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51"/>
    <w:basedOn w:val="11"/>
    <w:qFormat/>
    <w:uiPriority w:val="0"/>
    <w:rPr>
      <w:rFonts w:hint="eastAsia" w:ascii="宋体" w:hAnsi="宋体" w:eastAsia="宋体" w:cs="宋体"/>
      <w:color w:val="000000"/>
      <w:sz w:val="24"/>
      <w:szCs w:val="24"/>
      <w:u w:val="none"/>
    </w:rPr>
  </w:style>
  <w:style w:type="character" w:customStyle="1" w:styleId="19">
    <w:name w:val="font21"/>
    <w:basedOn w:val="11"/>
    <w:qFormat/>
    <w:uiPriority w:val="0"/>
    <w:rPr>
      <w:rFonts w:hint="eastAsia" w:ascii="宋体" w:hAnsi="宋体" w:eastAsia="宋体" w:cs="宋体"/>
      <w:color w:val="000000"/>
      <w:sz w:val="22"/>
      <w:szCs w:val="22"/>
      <w:u w:val="none"/>
    </w:rPr>
  </w:style>
  <w:style w:type="character" w:customStyle="1" w:styleId="20">
    <w:name w:val="批注框文本 Char Char"/>
    <w:basedOn w:val="11"/>
    <w:link w:val="6"/>
    <w:qFormat/>
    <w:uiPriority w:val="0"/>
    <w:rPr>
      <w:kern w:val="2"/>
      <w:sz w:val="18"/>
      <w:szCs w:val="18"/>
    </w:rPr>
  </w:style>
  <w:style w:type="character" w:customStyle="1" w:styleId="21">
    <w:name w:val="页眉 Char Char"/>
    <w:link w:val="8"/>
    <w:qFormat/>
    <w:uiPriority w:val="0"/>
    <w:rPr>
      <w:kern w:val="2"/>
      <w:sz w:val="18"/>
      <w:szCs w:val="18"/>
    </w:rPr>
  </w:style>
  <w:style w:type="character" w:customStyle="1" w:styleId="22">
    <w:name w:val="font4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9509</Words>
  <Characters>13554</Characters>
  <Lines>57</Lines>
  <Paragraphs>16</Paragraphs>
  <TotalTime>3</TotalTime>
  <ScaleCrop>false</ScaleCrop>
  <LinksUpToDate>false</LinksUpToDate>
  <CharactersWithSpaces>13828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2021-09-09T07:34:00Z</cp:lastPrinted>
  <dcterms:modified xsi:type="dcterms:W3CDTF">2022-09-15T08:45:06Z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E53EC0E7302749CA890BFE00D77698F9</vt:lpwstr>
  </property>
</Properties>
</file>