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许昌市建安区市政管护所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许昌市建安区市政管护所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许昌市建安区市政管护所</w:t>
      </w:r>
    </w:p>
    <w:p>
      <w:pPr>
        <w:widowControl/>
        <w:numPr>
          <w:ilvl w:val="0"/>
          <w:numId w:val="0"/>
        </w:numPr>
        <w:ind w:firstLine="4800" w:firstLineChars="10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64" w:firstLineChars="300"/>
        <w:jc w:val="left"/>
        <w:rPr>
          <w:rFonts w:hint="eastAsia" w:ascii="仿宋_GB2312" w:hAnsi="仿宋_GB2312" w:eastAsia="仿宋_GB2312" w:cs="仿宋_GB2312"/>
          <w:sz w:val="32"/>
          <w:szCs w:val="32"/>
          <w:highlight w:val="none"/>
        </w:rPr>
      </w:pPr>
      <w:r>
        <w:rPr>
          <w:rFonts w:hint="eastAsia" w:ascii="仿宋_GB2312" w:hAnsi="仿宋" w:eastAsia="仿宋_GB2312" w:cs="仿宋"/>
          <w:b/>
          <w:bCs/>
          <w:sz w:val="32"/>
          <w:szCs w:val="32"/>
          <w:highlight w:val="none"/>
          <w:lang w:val="en-US" w:eastAsia="zh-CN"/>
        </w:rPr>
        <w:t>1、主要职责</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全区城市的排水、污水设施的管理与养护工作。燃气、热力、管网的监督管理工作。城市、道路、桥梁、隧道设施维护管理。提供市政设施管理维护保障，市政设施等市政公用行业的管理工作。依据中华人民共和国国务院令【第198号】《城市道路管理条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firstLine="321" w:firstLineChars="100"/>
        <w:jc w:val="left"/>
        <w:rPr>
          <w:rFonts w:hint="eastAsia" w:ascii="仿宋_GB2312" w:hAnsi="仿宋_GB2312" w:eastAsia="仿宋_GB2312" w:cs="仿宋_GB2312"/>
          <w:b/>
          <w:bCs/>
          <w:i w:val="0"/>
          <w:iCs w:val="0"/>
          <w:caps w:val="0"/>
          <w:color w:val="000000"/>
          <w:spacing w:val="0"/>
          <w:sz w:val="32"/>
          <w:szCs w:val="32"/>
          <w:highlight w:val="none"/>
          <w:lang w:val="en-US" w:eastAsia="zh-CN"/>
        </w:rPr>
      </w:pPr>
      <w:r>
        <w:rPr>
          <w:rFonts w:hint="eastAsia" w:ascii="仿宋_GB2312" w:hAnsi="仿宋_GB2312" w:eastAsia="仿宋_GB2312" w:cs="仿宋_GB2312"/>
          <w:b/>
          <w:bCs/>
          <w:i w:val="0"/>
          <w:iCs w:val="0"/>
          <w:caps w:val="0"/>
          <w:color w:val="000000"/>
          <w:spacing w:val="0"/>
          <w:sz w:val="32"/>
          <w:szCs w:val="32"/>
          <w:highlight w:val="none"/>
          <w:lang w:val="en-US" w:eastAsia="zh-CN"/>
        </w:rPr>
        <w:t>2、人员构成情况</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许昌市建安区</w:t>
      </w:r>
      <w:r>
        <w:rPr>
          <w:rFonts w:hint="eastAsia" w:ascii="仿宋_GB2312" w:hAnsi="仿宋_GB2312" w:eastAsia="仿宋_GB2312" w:cs="仿宋_GB2312"/>
          <w:sz w:val="32"/>
          <w:szCs w:val="32"/>
          <w:highlight w:val="none"/>
          <w:lang w:eastAsia="zh-CN"/>
        </w:rPr>
        <w:t>市政管护所</w:t>
      </w:r>
      <w:r>
        <w:rPr>
          <w:rFonts w:hint="eastAsia" w:ascii="仿宋_GB2312" w:hAnsi="仿宋_GB2312" w:eastAsia="仿宋_GB2312" w:cs="仿宋_GB2312"/>
          <w:sz w:val="32"/>
          <w:szCs w:val="32"/>
          <w:highlight w:val="none"/>
        </w:rPr>
        <w:t>共有编制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名，其中：行政编制0名（公务员编制0名，工勤编制0名），事业编制</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名（管理岗位</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名，专业技术岗位0名，工勤岗位0名）。现有在职人数</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人，离退休人数</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许昌市建安区市政管护所无内设机构。</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从决算单位构成看，许昌市建安区市政管护所部门决算包括本级决算。</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8"/>
        <w:gridCol w:w="839"/>
        <w:gridCol w:w="1125"/>
        <w:gridCol w:w="4507"/>
        <w:gridCol w:w="839"/>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89"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2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59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2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30"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89"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2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59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29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30"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82"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2617" w:type="pct"/>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73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96"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3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96"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73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9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3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9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73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9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73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9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590"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730"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96" w:type="pct"/>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9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1590"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9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73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636"/>
        <w:gridCol w:w="1084"/>
        <w:gridCol w:w="1264"/>
        <w:gridCol w:w="1028"/>
        <w:gridCol w:w="1028"/>
        <w:gridCol w:w="1028"/>
        <w:gridCol w:w="102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54"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4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2"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54"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4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2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12"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427"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427"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427"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427"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512"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747"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747"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747"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27"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0"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0"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27"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27"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27"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27"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12"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58"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161.19</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161.19</w:t>
            </w: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74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74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2120107</w:t>
            </w:r>
          </w:p>
        </w:tc>
        <w:tc>
          <w:tcPr>
            <w:tcW w:w="74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市政公用行业市场监管</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51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47"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47"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47"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47"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47"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2636"/>
        <w:gridCol w:w="1438"/>
        <w:gridCol w:w="1519"/>
        <w:gridCol w:w="1168"/>
        <w:gridCol w:w="1168"/>
        <w:gridCol w:w="1168"/>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5"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83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5"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835"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46"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70"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446"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446"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446"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835"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835"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835"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70"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70"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46"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46"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46"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72"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161.30</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161.30</w:t>
            </w: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83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83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2120107</w:t>
            </w:r>
          </w:p>
        </w:tc>
        <w:tc>
          <w:tcPr>
            <w:tcW w:w="83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市政公用行业市场监管</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570"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835"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835"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835"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835"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835"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4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59"/>
        <w:gridCol w:w="526"/>
        <w:gridCol w:w="1323"/>
        <w:gridCol w:w="3685"/>
        <w:gridCol w:w="526"/>
        <w:gridCol w:w="908"/>
        <w:gridCol w:w="1321"/>
        <w:gridCol w:w="1102"/>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5"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17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5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28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7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13"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5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613"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5"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17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5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28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7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13"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57"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378"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613"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2"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227" w:type="pct"/>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135" w:type="pct"/>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9"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57"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284"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9"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13"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57"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378"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613"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35" w:type="pct"/>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179"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457"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1284"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179"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313"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457"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378"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613"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9"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9"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57"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7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1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161.19</w:t>
            </w: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31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w:t>
            </w: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w:t>
            </w:r>
          </w:p>
        </w:tc>
        <w:tc>
          <w:tcPr>
            <w:tcW w:w="1284"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1284"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3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5"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9" w:type="pct"/>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128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31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45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37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61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86" w:type="pct"/>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613"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highlight w:val="none"/>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0"/>
        <w:gridCol w:w="266"/>
        <w:gridCol w:w="272"/>
        <w:gridCol w:w="3200"/>
        <w:gridCol w:w="2050"/>
        <w:gridCol w:w="1987"/>
        <w:gridCol w:w="2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1" w:type="pct"/>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9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12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23"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01"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964"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1"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9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129"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23"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701" w:type="pct"/>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964"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0"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389" w:type="pct"/>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129"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23"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701"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964"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81"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1129"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723"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701"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964"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1129"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723"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701"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c>
          <w:tcPr>
            <w:tcW w:w="964"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0"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2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4"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0" w:type="pct"/>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72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161.30</w:t>
            </w:r>
          </w:p>
        </w:tc>
        <w:tc>
          <w:tcPr>
            <w:tcW w:w="70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161.30</w:t>
            </w: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112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72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70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112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72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70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2120107</w:t>
            </w:r>
          </w:p>
        </w:tc>
        <w:tc>
          <w:tcPr>
            <w:tcW w:w="112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市政公用行业市场监管</w:t>
            </w:r>
          </w:p>
        </w:tc>
        <w:tc>
          <w:tcPr>
            <w:tcW w:w="72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70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161.30</w:t>
            </w: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12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2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12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2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12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2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12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2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1"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112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highlight w:val="none"/>
                <w:u w:val="none"/>
              </w:rPr>
            </w:pPr>
          </w:p>
        </w:tc>
        <w:tc>
          <w:tcPr>
            <w:tcW w:w="72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7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3299"/>
        <w:gridCol w:w="833"/>
        <w:gridCol w:w="730"/>
        <w:gridCol w:w="2271"/>
        <w:gridCol w:w="730"/>
        <w:gridCol w:w="730"/>
        <w:gridCol w:w="4121"/>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53"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highlight w:val="none"/>
                <w:u w:val="none"/>
              </w:rPr>
            </w:pPr>
          </w:p>
        </w:tc>
        <w:tc>
          <w:tcPr>
            <w:tcW w:w="11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78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1764"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96"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2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78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2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1764"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13"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14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8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8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42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8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8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42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144.19</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16.47</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49.89</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26.03</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39.06</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11.01</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12.60</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14.16</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5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42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11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42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142"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2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25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25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42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144.83</w:t>
            </w:r>
          </w:p>
        </w:tc>
        <w:tc>
          <w:tcPr>
            <w:tcW w:w="2975"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084"/>
        <w:gridCol w:w="897"/>
        <w:gridCol w:w="897"/>
        <w:gridCol w:w="900"/>
        <w:gridCol w:w="903"/>
        <w:gridCol w:w="898"/>
        <w:gridCol w:w="1085"/>
        <w:gridCol w:w="898"/>
        <w:gridCol w:w="898"/>
        <w:gridCol w:w="90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highlight w:val="none"/>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3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2295"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048"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3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3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048"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48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9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3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48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8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8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说明：我部门没有预算安排的三公经费，也没有预算安排的三公支出，故本表无数据</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16"/>
        <w:gridCol w:w="272"/>
        <w:gridCol w:w="275"/>
        <w:gridCol w:w="1349"/>
        <w:gridCol w:w="1304"/>
        <w:gridCol w:w="1304"/>
        <w:gridCol w:w="1304"/>
        <w:gridCol w:w="1304"/>
        <w:gridCol w:w="1304"/>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11"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highlight w:val="none"/>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7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1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部门：许昌市建安区市政管护所</w:t>
            </w: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4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highlight w:val="none"/>
                <w:u w:val="none"/>
              </w:rPr>
            </w:pPr>
          </w:p>
        </w:tc>
        <w:tc>
          <w:tcPr>
            <w:tcW w:w="7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6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6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13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71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76"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4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4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71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76"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1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76"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1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80"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80"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46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w:t>
            </w:r>
          </w:p>
        </w:tc>
      </w:tr>
    </w:tbl>
    <w:p>
      <w:pPr>
        <w:jc w:val="center"/>
        <w:outlineLvl w:val="9"/>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3.86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161.19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161.19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3.86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5.16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主要用于以下方面：城乡社区（类）支出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color w:val="auto"/>
          <w:sz w:val="32"/>
          <w:szCs w:val="32"/>
          <w:highlight w:val="none"/>
          <w:lang w:val="en-US" w:eastAsia="zh-CN"/>
        </w:rPr>
        <w:t>万元，占100.00%。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159.41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101.19</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1．城乡社区支出（类）城乡社区管理事务（款） 市政公用行业市场监管（项）。</w:t>
      </w:r>
      <w:r>
        <w:rPr>
          <w:rFonts w:hint="eastAsia"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sz w:val="32"/>
          <w:szCs w:val="32"/>
          <w:highlight w:val="none"/>
          <w:lang w:val="en-US" w:eastAsia="zh-CN"/>
        </w:rPr>
        <w:t>159.41</w:t>
      </w:r>
      <w:r>
        <w:rPr>
          <w:rFonts w:hint="eastAsia" w:ascii="仿宋_GB2312" w:hAnsi="仿宋_GB2312" w:eastAsia="仿宋_GB2312" w:cs="仿宋_GB2312"/>
          <w:color w:val="auto"/>
          <w:sz w:val="32"/>
          <w:szCs w:val="32"/>
          <w:highlight w:val="none"/>
          <w:lang w:val="en-US" w:eastAsia="zh-CN"/>
        </w:rPr>
        <w:t>万元，支出决算为161.30万元，完成年初预算的101.19%。决算数与年初预算数存在差异的主要原因是</w:t>
      </w:r>
      <w:r>
        <w:rPr>
          <w:rFonts w:hint="eastAsia" w:ascii="仿宋_GB2312" w:hAnsi="仿宋_GB2312" w:eastAsia="仿宋_GB2312" w:cs="仿宋_GB2312"/>
          <w:sz w:val="32"/>
          <w:szCs w:val="32"/>
          <w:highlight w:val="none"/>
          <w:lang w:eastAsia="zh-CN"/>
        </w:rPr>
        <w:t>本年度人员工资标准上调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w:t>
      </w:r>
      <w:r>
        <w:rPr>
          <w:rFonts w:hint="eastAsia" w:ascii="仿宋_GB2312" w:hAnsi="仿宋_GB2312" w:eastAsia="仿宋_GB2312" w:cs="仿宋_GB2312"/>
          <w:sz w:val="32"/>
          <w:szCs w:val="32"/>
          <w:highlight w:val="none"/>
          <w:lang w:val="en-US" w:eastAsia="zh-CN"/>
        </w:rPr>
        <w:t>161.30</w:t>
      </w:r>
      <w:r>
        <w:rPr>
          <w:rFonts w:hint="eastAsia" w:ascii="仿宋_GB2312" w:hAnsi="仿宋_GB2312" w:eastAsia="仿宋_GB2312" w:cs="仿宋_GB2312"/>
          <w:color w:val="auto"/>
          <w:sz w:val="32"/>
          <w:szCs w:val="32"/>
          <w:highlight w:val="none"/>
          <w:lang w:val="en-US" w:eastAsia="zh-CN"/>
        </w:rPr>
        <w:t>万元。其中：人员经费</w:t>
      </w:r>
      <w:r>
        <w:rPr>
          <w:rFonts w:hint="eastAsia" w:ascii="仿宋_GB2312" w:hAnsi="仿宋_GB2312" w:eastAsia="仿宋_GB2312" w:cs="仿宋_GB2312"/>
          <w:sz w:val="32"/>
          <w:szCs w:val="32"/>
          <w:highlight w:val="none"/>
          <w:lang w:val="en-US" w:eastAsia="zh-CN"/>
        </w:rPr>
        <w:t>144.83</w:t>
      </w:r>
      <w:r>
        <w:rPr>
          <w:rFonts w:hint="eastAsia" w:ascii="仿宋_GB2312" w:hAnsi="仿宋_GB2312" w:eastAsia="仿宋_GB2312" w:cs="仿宋_GB2312"/>
          <w:color w:val="auto"/>
          <w:sz w:val="32"/>
          <w:szCs w:val="32"/>
          <w:highlight w:val="none"/>
          <w:lang w:val="en-US" w:eastAsia="zh-CN"/>
        </w:rPr>
        <w:t>万元，主要包括：基本工资、津贴补贴、绩效工资、机关事业单位基本养老保险缴费、职工基本医疗保险缴费、其他社会保障缴费、住房公积金、生活补助；公用经费</w:t>
      </w:r>
      <w:r>
        <w:rPr>
          <w:rFonts w:hint="eastAsia" w:ascii="仿宋_GB2312" w:hAnsi="仿宋_GB2312" w:eastAsia="仿宋_GB2312" w:cs="仿宋_GB2312"/>
          <w:sz w:val="32"/>
          <w:szCs w:val="32"/>
          <w:highlight w:val="none"/>
          <w:lang w:val="en-US" w:eastAsia="zh-CN"/>
        </w:rPr>
        <w:t>16.47</w:t>
      </w:r>
      <w:r>
        <w:rPr>
          <w:rFonts w:hint="eastAsia" w:ascii="仿宋_GB2312" w:hAnsi="仿宋_GB2312" w:eastAsia="仿宋_GB2312" w:cs="仿宋_GB2312"/>
          <w:color w:val="auto"/>
          <w:sz w:val="32"/>
          <w:szCs w:val="32"/>
          <w:highlight w:val="none"/>
          <w:lang w:val="en-US" w:eastAsia="zh-CN"/>
        </w:rPr>
        <w:t>万元，主要包括：办公费、劳务费、其他交通费用。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2021年度“三公”经费财政拨款支出预算为0.00万元，支出决算为0.00万元，完成预算的0.00%。2021年度“三公”经费支出决算数与预算数无差异。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2021年期末，部门开支财政拨款的公务用车保有量为0辆。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2021年度机关运行经费年初预算为0.00万元，支出决算为0.00万元，完成预算的0.00%。决算数与年初预算数无差异。情况说明：我单位不是行政机关，也不是参照公务员管理事业单位，没有机关运行经费支出。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许昌市建安区财政局关于开展2021年度区级预算项目绩效自评工作的通知》（建安财效〔2022〕2号）文件要求，对本单位整体支出和项目支出开展全过程预算绩效管理。2021年我单位纳入预算绩效管理的支出总额为161.30万元，其中：基本支出161.30万元；支出项目0个，支出金额0.00万元。开展项目绩效自评项目0个，自评金额0.00万元；纳入重点绩效评价0个，评价金额0.00万元。</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0.00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652EA"/>
    <w:multiLevelType w:val="singleLevel"/>
    <w:tmpl w:val="8B7652EA"/>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2C6E2A"/>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9D64F4"/>
    <w:rsid w:val="17A74F62"/>
    <w:rsid w:val="18A47774"/>
    <w:rsid w:val="1A8D28EB"/>
    <w:rsid w:val="1A9F2D78"/>
    <w:rsid w:val="1AC67717"/>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917B83"/>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3597923"/>
    <w:rsid w:val="43693981"/>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13672B"/>
    <w:rsid w:val="54F46F60"/>
    <w:rsid w:val="55A37BEA"/>
    <w:rsid w:val="56362CD2"/>
    <w:rsid w:val="5784687B"/>
    <w:rsid w:val="57846959"/>
    <w:rsid w:val="578E6A87"/>
    <w:rsid w:val="5AC2203A"/>
    <w:rsid w:val="5BE6789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7DE08E1"/>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4"/>
    <w:semiHidden/>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6679</Words>
  <Characters>7860</Characters>
  <Lines>60</Lines>
  <Paragraphs>16</Paragraphs>
  <TotalTime>22</TotalTime>
  <ScaleCrop>false</ScaleCrop>
  <LinksUpToDate>false</LinksUpToDate>
  <CharactersWithSpaces>8045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2022-09-15T08:48:06Z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F11A6FA7B8544622BC0F97D221387E39</vt:lpwstr>
  </property>
</Properties>
</file>