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许昌市建安区地方海事处</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许昌市建安区地方海事处</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许昌市建安区地方海事处</w:t>
      </w:r>
    </w:p>
    <w:p>
      <w:pPr>
        <w:widowControl/>
        <w:numPr>
          <w:ilvl w:val="0"/>
          <w:numId w:val="0"/>
        </w:numPr>
        <w:ind w:firstLine="4800" w:firstLineChars="10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一、部门</w:t>
      </w:r>
      <w:r>
        <w:rPr>
          <w:rFonts w:hint="eastAsia" w:ascii="黑体" w:hAnsi="黑体" w:eastAsia="黑体" w:cs="黑体"/>
          <w:bCs/>
          <w:sz w:val="32"/>
          <w:szCs w:val="32"/>
          <w:highlight w:val="none"/>
        </w:rPr>
        <w:t>职责</w:t>
      </w:r>
    </w:p>
    <w:p>
      <w:pPr>
        <w:widowControl/>
        <w:ind w:firstLine="643" w:firstLineChars="200"/>
        <w:jc w:val="left"/>
        <w:outlineLvl w:val="1"/>
        <w:rPr>
          <w:rFonts w:hint="eastAsia" w:eastAsia="仿宋_GB2312"/>
          <w:b/>
          <w:bCs/>
          <w:sz w:val="32"/>
          <w:szCs w:val="32"/>
          <w:lang w:val="en-US" w:eastAsia="zh-CN"/>
        </w:rPr>
      </w:pPr>
      <w:r>
        <w:rPr>
          <w:rFonts w:hint="eastAsia" w:eastAsia="仿宋_GB2312"/>
          <w:b/>
          <w:bCs/>
          <w:sz w:val="32"/>
          <w:szCs w:val="32"/>
          <w:lang w:val="en-US" w:eastAsia="zh-CN"/>
        </w:rPr>
        <w:t>1、主要职责</w:t>
      </w:r>
    </w:p>
    <w:p>
      <w:pPr>
        <w:widowControl/>
        <w:ind w:firstLine="640" w:firstLineChars="200"/>
        <w:jc w:val="left"/>
        <w:outlineLvl w:val="1"/>
        <w:rPr>
          <w:rFonts w:eastAsia="仿宋_GB2312"/>
          <w:sz w:val="32"/>
          <w:szCs w:val="32"/>
        </w:rPr>
      </w:pPr>
      <w:r>
        <w:rPr>
          <w:rFonts w:eastAsia="仿宋_GB2312"/>
          <w:sz w:val="32"/>
          <w:szCs w:val="32"/>
        </w:rPr>
        <w:t>负责本辖区</w:t>
      </w:r>
      <w:r>
        <w:rPr>
          <w:rFonts w:hint="eastAsia" w:eastAsia="仿宋_GB2312"/>
          <w:sz w:val="32"/>
          <w:szCs w:val="32"/>
        </w:rPr>
        <w:t>水域管理，水上运输安全管理，渡口管理，船舶管理，船员管理，水上运输企业管理</w:t>
      </w:r>
      <w:r>
        <w:rPr>
          <w:rFonts w:eastAsia="仿宋_GB2312"/>
          <w:sz w:val="32"/>
          <w:szCs w:val="32"/>
        </w:rPr>
        <w:t>。</w:t>
      </w:r>
    </w:p>
    <w:p>
      <w:pPr>
        <w:widowControl/>
        <w:numPr>
          <w:ilvl w:val="0"/>
          <w:numId w:val="3"/>
        </w:numPr>
        <w:ind w:firstLine="643" w:firstLineChars="200"/>
        <w:jc w:val="left"/>
        <w:outlineLvl w:val="1"/>
        <w:rPr>
          <w:rFonts w:hint="eastAsia" w:eastAsia="仿宋_GB2312"/>
          <w:b/>
          <w:bCs/>
          <w:sz w:val="32"/>
          <w:szCs w:val="32"/>
          <w:lang w:val="en-US" w:eastAsia="zh-CN"/>
        </w:rPr>
      </w:pPr>
      <w:r>
        <w:rPr>
          <w:rFonts w:hint="eastAsia" w:eastAsia="仿宋_GB2312"/>
          <w:b/>
          <w:bCs/>
          <w:sz w:val="32"/>
          <w:szCs w:val="32"/>
          <w:lang w:val="en-US" w:eastAsia="zh-CN"/>
        </w:rPr>
        <w:t>人员构成情况</w:t>
      </w:r>
    </w:p>
    <w:p>
      <w:pPr>
        <w:widowControl/>
        <w:ind w:firstLine="640" w:firstLineChars="200"/>
        <w:jc w:val="left"/>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本单位共有编制8人，其中事业编制8人，工勤编制0人。在职人数11人，退休人员0人，离休人员0人。</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adjustRightInd w:val="0"/>
        <w:snapToGrid w:val="0"/>
        <w:spacing w:line="360" w:lineRule="auto"/>
        <w:ind w:firstLine="640" w:firstLineChars="200"/>
        <w:rPr>
          <w:rFonts w:hint="eastAsia" w:eastAsia="仿宋_GB2312"/>
          <w:sz w:val="32"/>
          <w:szCs w:val="32"/>
          <w:lang w:eastAsia="zh-CN"/>
        </w:rPr>
      </w:pPr>
      <w:r>
        <w:rPr>
          <w:rFonts w:eastAsia="仿宋_GB2312"/>
          <w:sz w:val="32"/>
          <w:szCs w:val="32"/>
        </w:rPr>
        <w:t>许昌</w:t>
      </w:r>
      <w:r>
        <w:rPr>
          <w:rFonts w:hint="eastAsia" w:eastAsia="仿宋_GB2312"/>
          <w:sz w:val="32"/>
          <w:szCs w:val="32"/>
        </w:rPr>
        <w:t>市建安区</w:t>
      </w:r>
      <w:r>
        <w:rPr>
          <w:rFonts w:eastAsia="仿宋_GB2312"/>
          <w:sz w:val="32"/>
          <w:szCs w:val="32"/>
        </w:rPr>
        <w:t>地方海事</w:t>
      </w:r>
      <w:r>
        <w:rPr>
          <w:rFonts w:hint="eastAsia" w:eastAsia="仿宋_GB2312"/>
          <w:sz w:val="32"/>
          <w:szCs w:val="32"/>
        </w:rPr>
        <w:t>处无内设机构</w:t>
      </w:r>
      <w:r>
        <w:rPr>
          <w:rFonts w:hint="eastAsia" w:eastAsia="仿宋_GB2312"/>
          <w:sz w:val="32"/>
          <w:szCs w:val="32"/>
          <w:lang w:eastAsia="zh-CN"/>
        </w:rPr>
        <w:t>。</w:t>
      </w:r>
    </w:p>
    <w:p>
      <w:pPr>
        <w:widowControl/>
        <w:ind w:left="319" w:leftChars="152" w:firstLine="320" w:firstLineChars="1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从决算单位构成看，许昌市建安区地方海事处部门决算包括本级决算。</w:t>
      </w:r>
    </w:p>
    <w:p>
      <w:pPr>
        <w:widowControl/>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4"/>
        <w:gridCol w:w="835"/>
        <w:gridCol w:w="1115"/>
        <w:gridCol w:w="4475"/>
        <w:gridCol w:w="83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部门：许昌市建安区地方海事处</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2636"/>
        <w:gridCol w:w="1084"/>
        <w:gridCol w:w="1264"/>
        <w:gridCol w:w="1028"/>
        <w:gridCol w:w="1028"/>
        <w:gridCol w:w="1028"/>
        <w:gridCol w:w="1029"/>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54"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4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54"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部门：许昌市建安区地方海事处</w:t>
            </w:r>
          </w:p>
        </w:tc>
        <w:tc>
          <w:tcPr>
            <w:tcW w:w="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4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2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2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2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2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747"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7"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7"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2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58"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58"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126.52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126.52</w:t>
            </w: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7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7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7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47"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47"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47"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47"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47"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2636"/>
        <w:gridCol w:w="1438"/>
        <w:gridCol w:w="1519"/>
        <w:gridCol w:w="1168"/>
        <w:gridCol w:w="1168"/>
        <w:gridCol w:w="1168"/>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55"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7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7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7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55"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部门：许昌市建安区地方海事处</w:t>
            </w:r>
          </w:p>
        </w:tc>
        <w:tc>
          <w:tcPr>
            <w:tcW w:w="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7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7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7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7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4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4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4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835"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47"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47"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126.52</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126.52</w:t>
            </w: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7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8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8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8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9"/>
        <w:gridCol w:w="526"/>
        <w:gridCol w:w="1323"/>
        <w:gridCol w:w="3685"/>
        <w:gridCol w:w="526"/>
        <w:gridCol w:w="908"/>
        <w:gridCol w:w="1321"/>
        <w:gridCol w:w="1102"/>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35"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7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8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1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1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35"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部门：许昌市建安区地方海事处</w:t>
            </w:r>
          </w:p>
        </w:tc>
        <w:tc>
          <w:tcPr>
            <w:tcW w:w="17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8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1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1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13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5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8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13"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61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13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3"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84"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12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37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86"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613"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60"/>
        <w:gridCol w:w="266"/>
        <w:gridCol w:w="272"/>
        <w:gridCol w:w="3200"/>
        <w:gridCol w:w="2050"/>
        <w:gridCol w:w="1987"/>
        <w:gridCol w:w="2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91"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2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4"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9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部门：许昌市建安区地方海事处</w:t>
            </w:r>
          </w:p>
        </w:tc>
        <w:tc>
          <w:tcPr>
            <w:tcW w:w="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2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4"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38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1"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129"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0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6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48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9"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10"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10"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126.52</w:t>
            </w:r>
          </w:p>
        </w:tc>
        <w:tc>
          <w:tcPr>
            <w:tcW w:w="7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126.52</w:t>
            </w:r>
          </w:p>
        </w:tc>
        <w:tc>
          <w:tcPr>
            <w:tcW w:w="9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1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7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7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9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1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7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7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9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11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7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7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126.52</w:t>
            </w:r>
          </w:p>
        </w:tc>
        <w:tc>
          <w:tcPr>
            <w:tcW w:w="9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2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2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2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2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2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3352"/>
        <w:gridCol w:w="843"/>
        <w:gridCol w:w="739"/>
        <w:gridCol w:w="2307"/>
        <w:gridCol w:w="634"/>
        <w:gridCol w:w="739"/>
        <w:gridCol w:w="4188"/>
        <w:gridCol w:w="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55"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15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9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78"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406"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部门：许昌市建安区地方海事处</w:t>
            </w:r>
          </w:p>
        </w:tc>
        <w:tc>
          <w:tcPr>
            <w:tcW w:w="29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9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78"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01"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15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5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7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5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4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124.85</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38"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1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38"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5"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1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38"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124.85</w:t>
            </w:r>
          </w:p>
        </w:tc>
        <w:tc>
          <w:tcPr>
            <w:tcW w:w="296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084"/>
        <w:gridCol w:w="897"/>
        <w:gridCol w:w="897"/>
        <w:gridCol w:w="900"/>
        <w:gridCol w:w="903"/>
        <w:gridCol w:w="898"/>
        <w:gridCol w:w="1085"/>
        <w:gridCol w:w="898"/>
        <w:gridCol w:w="898"/>
        <w:gridCol w:w="90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0"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41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0"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部门：许昌市建安区地方海事处</w:t>
            </w:r>
          </w:p>
        </w:tc>
        <w:tc>
          <w:tcPr>
            <w:tcW w:w="41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0"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295"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48"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3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48"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8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9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3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8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说明：我部门没有预算安排的三公经费，也没有预算安排的三公支出，故本表无数据</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16"/>
        <w:gridCol w:w="272"/>
        <w:gridCol w:w="278"/>
        <w:gridCol w:w="1349"/>
        <w:gridCol w:w="1301"/>
        <w:gridCol w:w="1301"/>
        <w:gridCol w:w="1301"/>
        <w:gridCol w:w="1301"/>
        <w:gridCol w:w="1307"/>
        <w:gridCol w:w="2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11"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9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7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1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部门：许昌市建安区地方海事处</w:t>
            </w:r>
          </w:p>
        </w:tc>
        <w:tc>
          <w:tcPr>
            <w:tcW w:w="9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7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5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37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71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5"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76"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5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5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5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1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5"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6"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5"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6"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1"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1"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5"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center"/>
        <w:outlineLvl w:val="9"/>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13.97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12.41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本年度人员工资标准上调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项目支出0.00万元，占0.00%；上缴上级支出0.00万元，占0.00%；经营支出0.00万元，占0.00%；对附属单位补助支出0.00万元，占0.00%。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13.97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12.41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本年度人员工资标准上调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14.05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12.50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本年度人员工资标准上调</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主要用于以下方面：交通运输（类）支出</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color w:val="auto"/>
          <w:sz w:val="32"/>
          <w:szCs w:val="32"/>
          <w:highlight w:val="none"/>
          <w:lang w:val="en-US" w:eastAsia="zh-CN"/>
        </w:rPr>
        <w:t>万元，占100.00%。</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119.00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106.32</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1．城乡社区支出（类）城乡社区管理事务（款） 市政公用行业市场监管（项）。</w:t>
      </w:r>
      <w:r>
        <w:rPr>
          <w:rFonts w:hint="eastAsia"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sz w:val="32"/>
          <w:szCs w:val="32"/>
          <w:highlight w:val="none"/>
          <w:lang w:val="en-US" w:eastAsia="zh-CN"/>
        </w:rPr>
        <w:t>119.00</w:t>
      </w:r>
      <w:r>
        <w:rPr>
          <w:rFonts w:hint="eastAsia" w:ascii="仿宋_GB2312" w:hAnsi="仿宋_GB2312" w:eastAsia="仿宋_GB2312" w:cs="仿宋_GB2312"/>
          <w:color w:val="auto"/>
          <w:sz w:val="32"/>
          <w:szCs w:val="32"/>
          <w:highlight w:val="none"/>
          <w:lang w:val="en-US" w:eastAsia="zh-CN"/>
        </w:rPr>
        <w:t>万元，支出决算为126.52万元，完成年初预算的106.32%。决算数与年初预算数存在差异的主要原因是</w:t>
      </w:r>
      <w:r>
        <w:rPr>
          <w:rFonts w:hint="eastAsia" w:ascii="仿宋_GB2312" w:hAnsi="仿宋_GB2312" w:eastAsia="仿宋_GB2312" w:cs="仿宋_GB2312"/>
          <w:sz w:val="32"/>
          <w:szCs w:val="32"/>
          <w:highlight w:val="none"/>
          <w:lang w:eastAsia="zh-CN"/>
        </w:rPr>
        <w:t>本年度人员工资标准上调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2021年度一般公共预算财政拨款基本支出</w:t>
      </w:r>
      <w:r>
        <w:rPr>
          <w:rFonts w:hint="eastAsia" w:ascii="仿宋_GB2312" w:hAnsi="仿宋_GB2312" w:eastAsia="仿宋_GB2312" w:cs="仿宋_GB2312"/>
          <w:sz w:val="32"/>
          <w:szCs w:val="32"/>
          <w:highlight w:val="none"/>
          <w:lang w:val="en-US" w:eastAsia="zh-CN"/>
        </w:rPr>
        <w:t>126.52</w:t>
      </w:r>
      <w:r>
        <w:rPr>
          <w:rFonts w:hint="eastAsia" w:ascii="仿宋_GB2312" w:hAnsi="仿宋_GB2312" w:eastAsia="仿宋_GB2312" w:cs="仿宋_GB2312"/>
          <w:color w:val="auto"/>
          <w:sz w:val="32"/>
          <w:szCs w:val="32"/>
          <w:highlight w:val="none"/>
          <w:lang w:val="en-US" w:eastAsia="zh-CN"/>
        </w:rPr>
        <w:t>万元。其中：人员经费</w:t>
      </w:r>
      <w:r>
        <w:rPr>
          <w:rFonts w:hint="eastAsia" w:ascii="仿宋_GB2312" w:hAnsi="仿宋_GB2312" w:eastAsia="仿宋_GB2312" w:cs="仿宋_GB2312"/>
          <w:sz w:val="32"/>
          <w:szCs w:val="32"/>
          <w:highlight w:val="none"/>
          <w:lang w:val="en-US" w:eastAsia="zh-CN"/>
        </w:rPr>
        <w:t>124.85</w:t>
      </w:r>
      <w:r>
        <w:rPr>
          <w:rFonts w:hint="eastAsia" w:ascii="仿宋_GB2312" w:hAnsi="仿宋_GB2312" w:eastAsia="仿宋_GB2312" w:cs="仿宋_GB2312"/>
          <w:color w:val="auto"/>
          <w:sz w:val="32"/>
          <w:szCs w:val="32"/>
          <w:highlight w:val="none"/>
          <w:lang w:val="en-US" w:eastAsia="zh-CN"/>
        </w:rPr>
        <w:t>万元，主要包括：基本工资、津贴补贴、绩效工资、机关事业单位基本养老保险缴费、职工基本医疗保险缴费、其他社会保障缴费、住房公积金；公用经费</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color w:val="auto"/>
          <w:sz w:val="32"/>
          <w:szCs w:val="32"/>
          <w:highlight w:val="none"/>
          <w:lang w:val="en-US" w:eastAsia="zh-CN"/>
        </w:rPr>
        <w:t>万元，主要包括：办公费。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2021年度“三公”经费财政拨款支出预算为0.00万元，支出决算为0.00万元，完成预算的0.00%。2021年度“三公”经费支出决算数与预算数无差异。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0.00万元，完成预算的0.00%，占0.00%；公务用车购置及运行费支出决算0.00万元，完成预算的0.00%，占0.00%；公务接待费支出决算0.00万元，完成预算的0.00%，占0.00%。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预算为0.00万元，支出决算为0.00万元，完成预算的0.00%。决算数与预算数无差异。全年因公出国（境）团组0个，累计0人次。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2021年期末，部门开支财政拨款的公务用车保有量为0辆。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2021年度政府性基金预算财政拨款支出年初预算为0.00万元，支出决算为0.00万元，完成预算的0.00%。不存在项目年末结转和结余资金数额较大。情况说明：</w:t>
      </w:r>
      <w:r>
        <w:rPr>
          <w:rFonts w:hint="eastAsia" w:ascii="仿宋_GB2312" w:hAnsi="仿宋_GB2312" w:eastAsia="仿宋_GB2312" w:cs="仿宋_GB2312"/>
          <w:sz w:val="32"/>
          <w:szCs w:val="32"/>
          <w:highlight w:val="none"/>
        </w:rPr>
        <w:t>我单位202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2021年度机关运行经费年初预算为0.00万元，支出决算为0.00万元，完成预算的0.00%。决算数与年初预算数无差异。主要原因是：我单位不是行政机关，也不是参照公务员管理事业单位，没有机关运行经费支出。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2021年度政府采购支出总额0.00万元，其中：政府采购货物支出0.00万元、政府采购工程支出0.00万元、政府采购服务支出0.00万元。</w:t>
      </w:r>
      <w:r>
        <w:rPr>
          <w:rFonts w:hint="eastAsia" w:ascii="仿宋_GB2312" w:hAnsi="仿宋_GB2312" w:eastAsia="仿宋_GB2312" w:cs="仿宋_GB2312"/>
          <w:sz w:val="32"/>
          <w:szCs w:val="32"/>
          <w:highlight w:val="none"/>
        </w:rPr>
        <w:t>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许昌市建安区财政局关于开展2021年度区级预算项目绩效自评工作的通知》（建安财效〔2022〕2号）文件要求，对本单位整体支出和项目支出开展全过程预算绩效管理。2021年我单位纳入预算绩效管理的支出总额为126.52万元，其中：基本支出126.52万元；支出项目0个，支出金额0.00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rPr>
        <w:t>自20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年全面开展绩效工作，对管理人员，主要是根据层层分解的关键业绩指标完成情况进行考核；同时，在</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rPr>
        <w:t>里倡导采用“考勤制”考核办法，办公室出台了“工作突出制”实施指导意见，帮助</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rPr>
        <w:t>里建立各自的考核办法。经过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的实施，绩效管理在管理人员中起到了一定的积极作用，各级管理人员真正认识到自己的岗位职责，能够认真履职，管理水平得到极大地提高。在任务繁重、人员紧张的情况下，我们看到，由于长期疲劳工作，干活多的人和干活少的人有了比较，岗位高的人与岗位低的人都在努力干好自己的工作，遵守</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rPr>
        <w:t>里的纪律，</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rPr>
        <w:t>里的凝聚力和战斗力提高，工作效率提高，以上现象，说明我们的</w:t>
      </w:r>
      <w:r>
        <w:rPr>
          <w:rFonts w:hint="eastAsia" w:ascii="仿宋_GB2312" w:hAnsi="仿宋_GB2312" w:eastAsia="仿宋_GB2312" w:cs="仿宋_GB2312"/>
          <w:sz w:val="32"/>
          <w:szCs w:val="32"/>
          <w:highlight w:val="none"/>
          <w:lang w:eastAsia="zh-CN"/>
        </w:rPr>
        <w:t>整体</w:t>
      </w:r>
      <w:r>
        <w:rPr>
          <w:rFonts w:hint="eastAsia" w:ascii="仿宋_GB2312" w:hAnsi="仿宋_GB2312" w:eastAsia="仿宋_GB2312" w:cs="仿宋_GB2312"/>
          <w:sz w:val="32"/>
          <w:szCs w:val="32"/>
          <w:highlight w:val="none"/>
        </w:rPr>
        <w:t>绩效管理工作取得了一定的成效</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0.00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我单位选取0个项目开展了部门重点评价，评价得分：/分，等次为“/”。许昌市建安区财政局选取我单位：0个项目开展财政重点评价。</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十、年末结余：本年度或以前年度预算安排，已执行完毕或因客观条件发生变化无法按原预算安排实施，不需要再使用或无法按原预算安排继续使用的资金。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652EA"/>
    <w:multiLevelType w:val="singleLevel"/>
    <w:tmpl w:val="8B7652EA"/>
    <w:lvl w:ilvl="0" w:tentative="0">
      <w:start w:val="1"/>
      <w:numFmt w:val="chineseCounting"/>
      <w:suff w:val="space"/>
      <w:lvlText w:val="第%1部分"/>
      <w:lvlJc w:val="left"/>
      <w:rPr>
        <w:rFonts w:hint="eastAsia"/>
      </w:rPr>
    </w:lvl>
  </w:abstractNum>
  <w:abstractNum w:abstractNumId="1">
    <w:nsid w:val="989EED54"/>
    <w:multiLevelType w:val="singleLevel"/>
    <w:tmpl w:val="989EED54"/>
    <w:lvl w:ilvl="0" w:tentative="0">
      <w:start w:val="2"/>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NTJmZmNiYTdkYTgyYzg0YWIyMGM2MzA4ZWY1NT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EC848A7"/>
    <w:rsid w:val="10BD36F6"/>
    <w:rsid w:val="11BF0649"/>
    <w:rsid w:val="123E3E08"/>
    <w:rsid w:val="133212F4"/>
    <w:rsid w:val="13D22E22"/>
    <w:rsid w:val="161C2DFF"/>
    <w:rsid w:val="16373578"/>
    <w:rsid w:val="16D3336B"/>
    <w:rsid w:val="17200028"/>
    <w:rsid w:val="17806C36"/>
    <w:rsid w:val="179D64F4"/>
    <w:rsid w:val="17A74F62"/>
    <w:rsid w:val="18A47774"/>
    <w:rsid w:val="1A8D28EB"/>
    <w:rsid w:val="1A9F2D78"/>
    <w:rsid w:val="1AC67717"/>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917B83"/>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3693981"/>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082039D"/>
    <w:rsid w:val="51331326"/>
    <w:rsid w:val="51740A7F"/>
    <w:rsid w:val="51A5541E"/>
    <w:rsid w:val="51C96242"/>
    <w:rsid w:val="53906AE1"/>
    <w:rsid w:val="54F46F60"/>
    <w:rsid w:val="55A37BEA"/>
    <w:rsid w:val="56362CD2"/>
    <w:rsid w:val="5784687B"/>
    <w:rsid w:val="57846959"/>
    <w:rsid w:val="578E6A87"/>
    <w:rsid w:val="5926624E"/>
    <w:rsid w:val="5AC2203A"/>
    <w:rsid w:val="5CBB3334"/>
    <w:rsid w:val="5D115FAF"/>
    <w:rsid w:val="62811722"/>
    <w:rsid w:val="62E75A72"/>
    <w:rsid w:val="64571880"/>
    <w:rsid w:val="649125B6"/>
    <w:rsid w:val="652F4C1A"/>
    <w:rsid w:val="65923C3E"/>
    <w:rsid w:val="666D37F1"/>
    <w:rsid w:val="67087D8F"/>
    <w:rsid w:val="671F687E"/>
    <w:rsid w:val="67F415F8"/>
    <w:rsid w:val="682640D1"/>
    <w:rsid w:val="684B73E5"/>
    <w:rsid w:val="6A047A2A"/>
    <w:rsid w:val="6EFB7548"/>
    <w:rsid w:val="6F3831C3"/>
    <w:rsid w:val="6F8B71C1"/>
    <w:rsid w:val="70753482"/>
    <w:rsid w:val="707B522A"/>
    <w:rsid w:val="717151C9"/>
    <w:rsid w:val="73194D05"/>
    <w:rsid w:val="73A83B0E"/>
    <w:rsid w:val="744D3EF9"/>
    <w:rsid w:val="74794411"/>
    <w:rsid w:val="75867C40"/>
    <w:rsid w:val="75B10B26"/>
    <w:rsid w:val="76432199"/>
    <w:rsid w:val="76F44829"/>
    <w:rsid w:val="77A267C0"/>
    <w:rsid w:val="77DE08E1"/>
    <w:rsid w:val="78882278"/>
    <w:rsid w:val="78B118A6"/>
    <w:rsid w:val="79135044"/>
    <w:rsid w:val="7A7D0F99"/>
    <w:rsid w:val="7D2F100E"/>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jc w:val="center"/>
    </w:pPr>
    <w:rPr>
      <w:rFonts w:eastAsia="黑体"/>
      <w:sz w:val="36"/>
      <w:szCs w:val="20"/>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w:link w:val="4"/>
    <w:semiHidden/>
    <w:qFormat/>
    <w:uiPriority w:val="99"/>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99"/>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6391</Words>
  <Characters>7549</Characters>
  <Lines>60</Lines>
  <Paragraphs>16</Paragraphs>
  <TotalTime>0</TotalTime>
  <ScaleCrop>false</ScaleCrop>
  <LinksUpToDate>false</LinksUpToDate>
  <CharactersWithSpaces>7734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2022-09-15T08:50:27Z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982F1DB1198141F7B15904A8E59E249F</vt:lpwstr>
  </property>
</Properties>
</file>