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B7" w:rsidRPr="003A0EB7" w:rsidRDefault="003A0EB7" w:rsidP="003A0EB7">
      <w:pPr>
        <w:widowControl/>
        <w:shd w:val="clear" w:color="auto" w:fill="FFFFFF"/>
        <w:spacing w:line="420" w:lineRule="atLeast"/>
        <w:jc w:val="center"/>
        <w:rPr>
          <w:rFonts w:ascii="Times New Roman" w:eastAsia="宋体" w:hAnsi="Times New Roman" w:cs="Times New Roman"/>
          <w:color w:val="000000"/>
          <w:kern w:val="0"/>
          <w:szCs w:val="21"/>
        </w:rPr>
      </w:pPr>
      <w:r w:rsidRPr="003A0EB7">
        <w:rPr>
          <w:rFonts w:ascii="黑体" w:eastAsia="黑体" w:hAnsi="Times New Roman" w:cs="Times New Roman" w:hint="eastAsia"/>
          <w:b/>
          <w:bCs/>
          <w:color w:val="000000"/>
          <w:kern w:val="0"/>
          <w:sz w:val="30"/>
          <w:szCs w:val="30"/>
        </w:rPr>
        <w:t>中华人民共和国安全生产法（2014年修订）</w:t>
      </w:r>
    </w:p>
    <w:p w:rsidR="003A0EB7" w:rsidRPr="003A0EB7" w:rsidRDefault="003A0EB7" w:rsidP="003A0EB7">
      <w:pPr>
        <w:widowControl/>
        <w:shd w:val="clear" w:color="auto" w:fill="FFFFFF"/>
        <w:spacing w:line="420" w:lineRule="atLeast"/>
        <w:jc w:val="center"/>
        <w:rPr>
          <w:rFonts w:ascii="Times New Roman" w:eastAsia="宋体" w:hAnsi="Times New Roman" w:cs="Times New Roman"/>
          <w:color w:val="000000"/>
          <w:kern w:val="0"/>
          <w:szCs w:val="21"/>
        </w:rPr>
      </w:pPr>
      <w:r w:rsidRPr="003A0EB7">
        <w:rPr>
          <w:rFonts w:ascii="Times New Roman" w:eastAsia="宋体" w:hAnsi="Times New Roman" w:cs="Times New Roman"/>
          <w:color w:val="000000"/>
          <w:kern w:val="0"/>
          <w:szCs w:val="21"/>
        </w:rPr>
        <w:t> </w:t>
      </w:r>
    </w:p>
    <w:p w:rsidR="003A0EB7" w:rsidRPr="00B134A1"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B134A1">
        <w:rPr>
          <w:rFonts w:ascii="宋体" w:eastAsia="宋体" w:hAnsi="宋体" w:cs="Times New Roman" w:hint="eastAsia"/>
          <w:color w:val="000000"/>
          <w:spacing w:val="30"/>
          <w:kern w:val="0"/>
          <w:szCs w:val="21"/>
        </w:rPr>
        <w:t>（</w:t>
      </w:r>
      <w:r w:rsidRPr="00B134A1">
        <w:rPr>
          <w:rFonts w:ascii="ˎ̥" w:eastAsia="宋体" w:hAnsi="ˎ̥" w:cs="Times New Roman"/>
          <w:color w:val="000000"/>
          <w:spacing w:val="30"/>
          <w:kern w:val="0"/>
          <w:szCs w:val="21"/>
        </w:rPr>
        <w:t>2002</w:t>
      </w:r>
      <w:r w:rsidRPr="00B134A1">
        <w:rPr>
          <w:rFonts w:ascii="宋体" w:eastAsia="宋体" w:hAnsi="宋体" w:cs="Times New Roman" w:hint="eastAsia"/>
          <w:color w:val="000000"/>
          <w:spacing w:val="30"/>
          <w:kern w:val="0"/>
          <w:szCs w:val="21"/>
        </w:rPr>
        <w:t>年</w:t>
      </w:r>
      <w:r w:rsidRPr="00B134A1">
        <w:rPr>
          <w:rFonts w:ascii="ˎ̥" w:eastAsia="宋体" w:hAnsi="ˎ̥" w:cs="Times New Roman"/>
          <w:color w:val="000000"/>
          <w:spacing w:val="30"/>
          <w:kern w:val="0"/>
          <w:szCs w:val="21"/>
        </w:rPr>
        <w:t>6</w:t>
      </w:r>
      <w:r w:rsidRPr="00B134A1">
        <w:rPr>
          <w:rFonts w:ascii="宋体" w:eastAsia="宋体" w:hAnsi="宋体" w:cs="Times New Roman" w:hint="eastAsia"/>
          <w:color w:val="000000"/>
          <w:spacing w:val="30"/>
          <w:kern w:val="0"/>
          <w:szCs w:val="21"/>
        </w:rPr>
        <w:t>月</w:t>
      </w:r>
      <w:r w:rsidRPr="00B134A1">
        <w:rPr>
          <w:rFonts w:ascii="ˎ̥" w:eastAsia="宋体" w:hAnsi="ˎ̥" w:cs="Times New Roman"/>
          <w:color w:val="000000"/>
          <w:spacing w:val="30"/>
          <w:kern w:val="0"/>
          <w:szCs w:val="21"/>
        </w:rPr>
        <w:t>29</w:t>
      </w:r>
      <w:r w:rsidRPr="00B134A1">
        <w:rPr>
          <w:rFonts w:ascii="宋体" w:eastAsia="宋体" w:hAnsi="宋体" w:cs="Times New Roman" w:hint="eastAsia"/>
          <w:color w:val="000000"/>
          <w:spacing w:val="30"/>
          <w:kern w:val="0"/>
          <w:szCs w:val="21"/>
        </w:rPr>
        <w:t xml:space="preserve">日第九届全国人民代表大会常务委员会第二十八次会议通过　</w:t>
      </w:r>
      <w:r w:rsidRPr="00B134A1">
        <w:rPr>
          <w:rFonts w:ascii="ˎ̥" w:eastAsia="宋体" w:hAnsi="ˎ̥" w:cs="Times New Roman"/>
          <w:color w:val="000000"/>
          <w:spacing w:val="30"/>
          <w:kern w:val="0"/>
          <w:szCs w:val="21"/>
        </w:rPr>
        <w:t>2002</w:t>
      </w:r>
      <w:r w:rsidRPr="00B134A1">
        <w:rPr>
          <w:rFonts w:ascii="宋体" w:eastAsia="宋体" w:hAnsi="宋体" w:cs="Times New Roman" w:hint="eastAsia"/>
          <w:color w:val="000000"/>
          <w:spacing w:val="30"/>
          <w:kern w:val="0"/>
          <w:szCs w:val="21"/>
        </w:rPr>
        <w:t>年</w:t>
      </w:r>
      <w:r w:rsidRPr="00B134A1">
        <w:rPr>
          <w:rFonts w:ascii="ˎ̥" w:eastAsia="宋体" w:hAnsi="ˎ̥" w:cs="Times New Roman"/>
          <w:color w:val="000000"/>
          <w:spacing w:val="30"/>
          <w:kern w:val="0"/>
          <w:szCs w:val="21"/>
        </w:rPr>
        <w:t>6</w:t>
      </w:r>
      <w:r w:rsidRPr="00B134A1">
        <w:rPr>
          <w:rFonts w:ascii="宋体" w:eastAsia="宋体" w:hAnsi="宋体" w:cs="Times New Roman" w:hint="eastAsia"/>
          <w:color w:val="000000"/>
          <w:spacing w:val="30"/>
          <w:kern w:val="0"/>
          <w:szCs w:val="21"/>
        </w:rPr>
        <w:t>月</w:t>
      </w:r>
      <w:r w:rsidRPr="00B134A1">
        <w:rPr>
          <w:rFonts w:ascii="ˎ̥" w:eastAsia="宋体" w:hAnsi="ˎ̥" w:cs="Times New Roman"/>
          <w:color w:val="000000"/>
          <w:spacing w:val="30"/>
          <w:kern w:val="0"/>
          <w:szCs w:val="21"/>
        </w:rPr>
        <w:t>29</w:t>
      </w:r>
      <w:r w:rsidRPr="00B134A1">
        <w:rPr>
          <w:rFonts w:ascii="宋体" w:eastAsia="宋体" w:hAnsi="宋体" w:cs="Times New Roman" w:hint="eastAsia"/>
          <w:color w:val="000000"/>
          <w:spacing w:val="30"/>
          <w:kern w:val="0"/>
          <w:szCs w:val="21"/>
        </w:rPr>
        <w:t>日中华人民共和国主席令第七十号公布　自</w:t>
      </w:r>
      <w:r w:rsidRPr="00B134A1">
        <w:rPr>
          <w:rFonts w:ascii="ˎ̥" w:eastAsia="宋体" w:hAnsi="ˎ̥" w:cs="Times New Roman"/>
          <w:color w:val="000000"/>
          <w:spacing w:val="30"/>
          <w:kern w:val="0"/>
          <w:szCs w:val="21"/>
        </w:rPr>
        <w:t>2002</w:t>
      </w:r>
      <w:r w:rsidRPr="00B134A1">
        <w:rPr>
          <w:rFonts w:ascii="宋体" w:eastAsia="宋体" w:hAnsi="宋体" w:cs="Times New Roman" w:hint="eastAsia"/>
          <w:color w:val="000000"/>
          <w:spacing w:val="30"/>
          <w:kern w:val="0"/>
          <w:szCs w:val="21"/>
        </w:rPr>
        <w:t>年</w:t>
      </w:r>
      <w:r w:rsidRPr="00B134A1">
        <w:rPr>
          <w:rFonts w:ascii="ˎ̥" w:eastAsia="宋体" w:hAnsi="ˎ̥" w:cs="Times New Roman"/>
          <w:color w:val="000000"/>
          <w:spacing w:val="30"/>
          <w:kern w:val="0"/>
          <w:szCs w:val="21"/>
        </w:rPr>
        <w:t>11</w:t>
      </w:r>
      <w:r w:rsidRPr="00B134A1">
        <w:rPr>
          <w:rFonts w:ascii="宋体" w:eastAsia="宋体" w:hAnsi="宋体" w:cs="Times New Roman" w:hint="eastAsia"/>
          <w:color w:val="000000"/>
          <w:spacing w:val="30"/>
          <w:kern w:val="0"/>
          <w:szCs w:val="21"/>
        </w:rPr>
        <w:t>月</w:t>
      </w:r>
      <w:r w:rsidRPr="00B134A1">
        <w:rPr>
          <w:rFonts w:ascii="ˎ̥" w:eastAsia="宋体" w:hAnsi="ˎ̥" w:cs="Times New Roman"/>
          <w:color w:val="000000"/>
          <w:spacing w:val="30"/>
          <w:kern w:val="0"/>
          <w:szCs w:val="21"/>
        </w:rPr>
        <w:t>1</w:t>
      </w:r>
      <w:r w:rsidRPr="00B134A1">
        <w:rPr>
          <w:rFonts w:ascii="宋体" w:eastAsia="宋体" w:hAnsi="宋体" w:cs="Times New Roman" w:hint="eastAsia"/>
          <w:color w:val="000000"/>
          <w:spacing w:val="30"/>
          <w:kern w:val="0"/>
          <w:szCs w:val="21"/>
        </w:rPr>
        <w:t>日起施行</w:t>
      </w:r>
      <w:r w:rsidRPr="00B134A1">
        <w:rPr>
          <w:rFonts w:ascii="ˎ̥" w:eastAsia="宋体" w:hAnsi="ˎ̥" w:cs="Times New Roman"/>
          <w:color w:val="000000"/>
          <w:spacing w:val="30"/>
          <w:kern w:val="0"/>
          <w:szCs w:val="21"/>
        </w:rPr>
        <w:t> </w:t>
      </w:r>
      <w:r w:rsidRPr="00B134A1">
        <w:rPr>
          <w:rFonts w:ascii="宋体" w:eastAsia="宋体" w:hAnsi="宋体" w:cs="Times New Roman" w:hint="eastAsia"/>
          <w:color w:val="000000"/>
          <w:spacing w:val="30"/>
          <w:kern w:val="0"/>
          <w:szCs w:val="21"/>
        </w:rPr>
        <w:t>根据</w:t>
      </w:r>
      <w:r w:rsidRPr="00B134A1">
        <w:rPr>
          <w:rFonts w:ascii="ˎ̥" w:eastAsia="宋体" w:hAnsi="ˎ̥" w:cs="Times New Roman"/>
          <w:color w:val="000000"/>
          <w:spacing w:val="30"/>
          <w:kern w:val="0"/>
          <w:szCs w:val="21"/>
        </w:rPr>
        <w:t>2014</w:t>
      </w:r>
      <w:r w:rsidRPr="00B134A1">
        <w:rPr>
          <w:rFonts w:ascii="宋体" w:eastAsia="宋体" w:hAnsi="宋体" w:cs="Times New Roman" w:hint="eastAsia"/>
          <w:color w:val="000000"/>
          <w:spacing w:val="30"/>
          <w:kern w:val="0"/>
          <w:szCs w:val="21"/>
        </w:rPr>
        <w:t>年</w:t>
      </w:r>
      <w:r w:rsidRPr="00B134A1">
        <w:rPr>
          <w:rFonts w:ascii="ˎ̥" w:eastAsia="宋体" w:hAnsi="ˎ̥" w:cs="Times New Roman"/>
          <w:color w:val="000000"/>
          <w:spacing w:val="30"/>
          <w:kern w:val="0"/>
          <w:szCs w:val="21"/>
        </w:rPr>
        <w:t>8</w:t>
      </w:r>
      <w:r w:rsidRPr="00B134A1">
        <w:rPr>
          <w:rFonts w:ascii="宋体" w:eastAsia="宋体" w:hAnsi="宋体" w:cs="Times New Roman" w:hint="eastAsia"/>
          <w:color w:val="000000"/>
          <w:spacing w:val="30"/>
          <w:kern w:val="0"/>
          <w:szCs w:val="21"/>
        </w:rPr>
        <w:t>月</w:t>
      </w:r>
      <w:r w:rsidRPr="00B134A1">
        <w:rPr>
          <w:rFonts w:ascii="ˎ̥" w:eastAsia="宋体" w:hAnsi="ˎ̥" w:cs="Times New Roman"/>
          <w:color w:val="000000"/>
          <w:spacing w:val="30"/>
          <w:kern w:val="0"/>
          <w:szCs w:val="21"/>
        </w:rPr>
        <w:t>31</w:t>
      </w:r>
      <w:r w:rsidRPr="00B134A1">
        <w:rPr>
          <w:rFonts w:ascii="宋体" w:eastAsia="宋体" w:hAnsi="宋体" w:cs="Times New Roman" w:hint="eastAsia"/>
          <w:color w:val="000000"/>
          <w:spacing w:val="30"/>
          <w:kern w:val="0"/>
          <w:szCs w:val="21"/>
        </w:rPr>
        <w:t>日第十二届全国人民代表大会常务委员会关于修改《中华人民共和国安全生产法》的决定修正</w:t>
      </w:r>
      <w:r w:rsidRPr="00B134A1">
        <w:rPr>
          <w:rFonts w:ascii="ˎ̥" w:eastAsia="宋体" w:hAnsi="ˎ̥" w:cs="Times New Roman"/>
          <w:color w:val="000000"/>
          <w:spacing w:val="30"/>
          <w:kern w:val="0"/>
          <w:szCs w:val="21"/>
        </w:rPr>
        <w:t> </w:t>
      </w:r>
      <w:r w:rsidRPr="00B134A1">
        <w:rPr>
          <w:rFonts w:ascii="宋体" w:eastAsia="宋体" w:hAnsi="宋体" w:cs="Times New Roman" w:hint="eastAsia"/>
          <w:color w:val="000000"/>
          <w:spacing w:val="30"/>
          <w:kern w:val="0"/>
          <w:szCs w:val="21"/>
        </w:rPr>
        <w:t>自</w:t>
      </w:r>
      <w:r w:rsidRPr="00B134A1">
        <w:rPr>
          <w:rFonts w:ascii="ˎ̥" w:eastAsia="宋体" w:hAnsi="ˎ̥" w:cs="Times New Roman"/>
          <w:color w:val="000000"/>
          <w:spacing w:val="30"/>
          <w:kern w:val="0"/>
          <w:szCs w:val="21"/>
        </w:rPr>
        <w:t>2014</w:t>
      </w:r>
      <w:r w:rsidRPr="00B134A1">
        <w:rPr>
          <w:rFonts w:ascii="宋体" w:eastAsia="宋体" w:hAnsi="宋体" w:cs="Times New Roman" w:hint="eastAsia"/>
          <w:color w:val="000000"/>
          <w:spacing w:val="30"/>
          <w:kern w:val="0"/>
          <w:szCs w:val="21"/>
        </w:rPr>
        <w:t>年</w:t>
      </w:r>
      <w:r w:rsidRPr="00B134A1">
        <w:rPr>
          <w:rFonts w:ascii="ˎ̥" w:eastAsia="宋体" w:hAnsi="ˎ̥" w:cs="Times New Roman"/>
          <w:color w:val="000000"/>
          <w:spacing w:val="30"/>
          <w:kern w:val="0"/>
          <w:szCs w:val="21"/>
        </w:rPr>
        <w:t>12</w:t>
      </w:r>
      <w:r w:rsidRPr="00B134A1">
        <w:rPr>
          <w:rFonts w:ascii="宋体" w:eastAsia="宋体" w:hAnsi="宋体" w:cs="Times New Roman" w:hint="eastAsia"/>
          <w:color w:val="000000"/>
          <w:spacing w:val="30"/>
          <w:kern w:val="0"/>
          <w:szCs w:val="21"/>
        </w:rPr>
        <w:t>月</w:t>
      </w:r>
      <w:r w:rsidRPr="00B134A1">
        <w:rPr>
          <w:rFonts w:ascii="ˎ̥" w:eastAsia="宋体" w:hAnsi="ˎ̥" w:cs="Times New Roman"/>
          <w:color w:val="000000"/>
          <w:spacing w:val="30"/>
          <w:kern w:val="0"/>
          <w:szCs w:val="21"/>
        </w:rPr>
        <w:t>1</w:t>
      </w:r>
      <w:r w:rsidRPr="00B134A1">
        <w:rPr>
          <w:rFonts w:ascii="宋体" w:eastAsia="宋体" w:hAnsi="宋体" w:cs="Times New Roman" w:hint="eastAsia"/>
          <w:color w:val="000000"/>
          <w:spacing w:val="30"/>
          <w:kern w:val="0"/>
          <w:szCs w:val="21"/>
        </w:rPr>
        <w:t>日起施行）</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目录</w:t>
      </w:r>
    </w:p>
    <w:p w:rsidR="003A0EB7" w:rsidRPr="003A0EB7" w:rsidRDefault="0033190F" w:rsidP="003A0EB7">
      <w:pPr>
        <w:widowControl/>
        <w:shd w:val="clear" w:color="auto" w:fill="FFFFFF"/>
        <w:spacing w:line="375" w:lineRule="atLeast"/>
        <w:jc w:val="left"/>
        <w:rPr>
          <w:rFonts w:ascii="Times New Roman" w:eastAsia="宋体" w:hAnsi="Times New Roman" w:cs="Times New Roman"/>
          <w:color w:val="000000"/>
          <w:kern w:val="0"/>
          <w:szCs w:val="21"/>
        </w:rPr>
      </w:pPr>
      <w:hyperlink r:id="rId6" w:history="1">
        <w:r w:rsidR="003A0EB7" w:rsidRPr="003A0EB7">
          <w:rPr>
            <w:rFonts w:ascii="宋体" w:eastAsia="宋体" w:hAnsi="宋体" w:cs="Times New Roman" w:hint="eastAsia"/>
            <w:color w:val="333333"/>
            <w:kern w:val="0"/>
            <w:sz w:val="18"/>
            <w:szCs w:val="18"/>
          </w:rPr>
          <w:t>第一章</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总</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则</w:t>
        </w:r>
      </w:hyperlink>
    </w:p>
    <w:p w:rsidR="003A0EB7" w:rsidRPr="003A0EB7" w:rsidRDefault="0033190F" w:rsidP="003A0EB7">
      <w:pPr>
        <w:widowControl/>
        <w:shd w:val="clear" w:color="auto" w:fill="FFFFFF"/>
        <w:spacing w:line="375" w:lineRule="atLeast"/>
        <w:jc w:val="left"/>
        <w:rPr>
          <w:rFonts w:ascii="Times New Roman" w:eastAsia="宋体" w:hAnsi="Times New Roman" w:cs="Times New Roman"/>
          <w:color w:val="000000"/>
          <w:kern w:val="0"/>
          <w:szCs w:val="21"/>
        </w:rPr>
      </w:pPr>
      <w:hyperlink r:id="rId7" w:history="1">
        <w:r w:rsidR="003A0EB7" w:rsidRPr="003A0EB7">
          <w:rPr>
            <w:rFonts w:ascii="宋体" w:eastAsia="宋体" w:hAnsi="宋体" w:cs="Times New Roman" w:hint="eastAsia"/>
            <w:color w:val="333333"/>
            <w:kern w:val="0"/>
            <w:sz w:val="18"/>
            <w:szCs w:val="18"/>
          </w:rPr>
          <w:t>第二章</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生产经营单位的安全生产保障</w:t>
        </w:r>
      </w:hyperlink>
    </w:p>
    <w:p w:rsidR="003A0EB7" w:rsidRPr="003A0EB7" w:rsidRDefault="0033190F" w:rsidP="003A0EB7">
      <w:pPr>
        <w:widowControl/>
        <w:shd w:val="clear" w:color="auto" w:fill="FFFFFF"/>
        <w:spacing w:line="375" w:lineRule="atLeast"/>
        <w:jc w:val="left"/>
        <w:rPr>
          <w:rFonts w:ascii="Times New Roman" w:eastAsia="宋体" w:hAnsi="Times New Roman" w:cs="Times New Roman"/>
          <w:color w:val="000000"/>
          <w:kern w:val="0"/>
          <w:szCs w:val="21"/>
        </w:rPr>
      </w:pPr>
      <w:hyperlink r:id="rId8" w:history="1">
        <w:r w:rsidR="003A0EB7" w:rsidRPr="003A0EB7">
          <w:rPr>
            <w:rFonts w:ascii="宋体" w:eastAsia="宋体" w:hAnsi="宋体" w:cs="Times New Roman" w:hint="eastAsia"/>
            <w:color w:val="333333"/>
            <w:kern w:val="0"/>
            <w:sz w:val="18"/>
            <w:szCs w:val="18"/>
          </w:rPr>
          <w:t>第三章</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从业人员的安全生产权利义务</w:t>
        </w:r>
      </w:hyperlink>
    </w:p>
    <w:p w:rsidR="003A0EB7" w:rsidRPr="003A0EB7" w:rsidRDefault="0033190F" w:rsidP="003A0EB7">
      <w:pPr>
        <w:widowControl/>
        <w:shd w:val="clear" w:color="auto" w:fill="FFFFFF"/>
        <w:spacing w:line="375" w:lineRule="atLeast"/>
        <w:jc w:val="left"/>
        <w:rPr>
          <w:rFonts w:ascii="Times New Roman" w:eastAsia="宋体" w:hAnsi="Times New Roman" w:cs="Times New Roman"/>
          <w:color w:val="000000"/>
          <w:kern w:val="0"/>
          <w:szCs w:val="21"/>
        </w:rPr>
      </w:pPr>
      <w:hyperlink r:id="rId9" w:history="1">
        <w:r w:rsidR="003A0EB7" w:rsidRPr="003A0EB7">
          <w:rPr>
            <w:rFonts w:ascii="宋体" w:eastAsia="宋体" w:hAnsi="宋体" w:cs="Times New Roman" w:hint="eastAsia"/>
            <w:color w:val="333333"/>
            <w:kern w:val="0"/>
            <w:sz w:val="18"/>
            <w:szCs w:val="18"/>
          </w:rPr>
          <w:t>第四章</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安全生产的监督管理</w:t>
        </w:r>
      </w:hyperlink>
    </w:p>
    <w:p w:rsidR="003A0EB7" w:rsidRPr="003A0EB7" w:rsidRDefault="0033190F" w:rsidP="003A0EB7">
      <w:pPr>
        <w:widowControl/>
        <w:shd w:val="clear" w:color="auto" w:fill="FFFFFF"/>
        <w:spacing w:line="375" w:lineRule="atLeast"/>
        <w:jc w:val="left"/>
        <w:rPr>
          <w:rFonts w:ascii="Times New Roman" w:eastAsia="宋体" w:hAnsi="Times New Roman" w:cs="Times New Roman"/>
          <w:color w:val="000000"/>
          <w:kern w:val="0"/>
          <w:szCs w:val="21"/>
        </w:rPr>
      </w:pPr>
      <w:hyperlink r:id="rId10" w:history="1">
        <w:r w:rsidR="003A0EB7" w:rsidRPr="003A0EB7">
          <w:rPr>
            <w:rFonts w:ascii="宋体" w:eastAsia="宋体" w:hAnsi="宋体" w:cs="Times New Roman" w:hint="eastAsia"/>
            <w:color w:val="333333"/>
            <w:kern w:val="0"/>
            <w:sz w:val="18"/>
            <w:szCs w:val="18"/>
          </w:rPr>
          <w:t>第五章</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生产安全事故的应急救援与调查处理</w:t>
        </w:r>
      </w:hyperlink>
    </w:p>
    <w:p w:rsidR="003A0EB7" w:rsidRPr="003A0EB7" w:rsidRDefault="0033190F" w:rsidP="003A0EB7">
      <w:pPr>
        <w:widowControl/>
        <w:shd w:val="clear" w:color="auto" w:fill="FFFFFF"/>
        <w:spacing w:line="375" w:lineRule="atLeast"/>
        <w:jc w:val="left"/>
        <w:rPr>
          <w:rFonts w:ascii="Times New Roman" w:eastAsia="宋体" w:hAnsi="Times New Roman" w:cs="Times New Roman"/>
          <w:color w:val="000000"/>
          <w:kern w:val="0"/>
          <w:szCs w:val="21"/>
        </w:rPr>
      </w:pPr>
      <w:hyperlink r:id="rId11" w:history="1">
        <w:r w:rsidR="003A0EB7" w:rsidRPr="003A0EB7">
          <w:rPr>
            <w:rFonts w:ascii="宋体" w:eastAsia="宋体" w:hAnsi="宋体" w:cs="Times New Roman" w:hint="eastAsia"/>
            <w:color w:val="333333"/>
            <w:kern w:val="0"/>
            <w:sz w:val="18"/>
            <w:szCs w:val="18"/>
          </w:rPr>
          <w:t>第六章</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法律责任</w:t>
        </w:r>
      </w:hyperlink>
    </w:p>
    <w:p w:rsidR="003A0EB7" w:rsidRPr="003A0EB7" w:rsidRDefault="0033190F" w:rsidP="003A0EB7">
      <w:pPr>
        <w:widowControl/>
        <w:shd w:val="clear" w:color="auto" w:fill="FFFFFF"/>
        <w:spacing w:line="375" w:lineRule="atLeast"/>
        <w:jc w:val="left"/>
        <w:rPr>
          <w:rFonts w:ascii="Times New Roman" w:eastAsia="宋体" w:hAnsi="Times New Roman" w:cs="Times New Roman"/>
          <w:color w:val="000000"/>
          <w:kern w:val="0"/>
          <w:szCs w:val="21"/>
        </w:rPr>
      </w:pPr>
      <w:hyperlink r:id="rId12" w:history="1">
        <w:r w:rsidR="003A0EB7" w:rsidRPr="003A0EB7">
          <w:rPr>
            <w:rFonts w:ascii="宋体" w:eastAsia="宋体" w:hAnsi="宋体" w:cs="Times New Roman" w:hint="eastAsia"/>
            <w:color w:val="333333"/>
            <w:kern w:val="0"/>
            <w:sz w:val="18"/>
            <w:szCs w:val="18"/>
          </w:rPr>
          <w:t>第七章</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附</w:t>
        </w:r>
        <w:r w:rsidR="003A0EB7" w:rsidRPr="003A0EB7">
          <w:rPr>
            <w:rFonts w:ascii="ˎ̥" w:eastAsia="宋体" w:hAnsi="ˎ̥" w:cs="Times New Roman"/>
            <w:color w:val="333333"/>
            <w:kern w:val="0"/>
            <w:sz w:val="18"/>
          </w:rPr>
          <w:t> </w:t>
        </w:r>
        <w:r w:rsidR="003A0EB7" w:rsidRPr="003A0EB7">
          <w:rPr>
            <w:rFonts w:ascii="宋体" w:eastAsia="宋体" w:hAnsi="宋体" w:cs="Times New Roman" w:hint="eastAsia"/>
            <w:color w:val="333333"/>
            <w:kern w:val="0"/>
            <w:sz w:val="18"/>
            <w:szCs w:val="18"/>
          </w:rPr>
          <w:t>则</w:t>
        </w:r>
      </w:hyperlink>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Times New Roman" w:eastAsia="宋体" w:hAnsi="Times New Roman" w:cs="Times New Roman"/>
          <w:color w:val="000000"/>
          <w:kern w:val="0"/>
          <w:szCs w:val="21"/>
        </w:rPr>
        <w:t> </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第一章</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总</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则</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为了加强安全生产工作，防止和减少生产安全事故，保障人民群众生命和财产安全，促进经济社会持续健康发展，制定本法。</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在中华人民共和国领域内从事生产经营活动的单位</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以下统称生产经营单位</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的安全生产，适用本法</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有关法律、行政法规对消防安全和道路交通安全、铁路交通安全、水上交通安全、民用航空安全以及核与辐射安全、特种设备安全另有规定的，适用其规定。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安全生产工作应当以人为本，坚持安全发展，坚持安全第一、预防为主、综合治理的方针，强化和落实生产经营单位的主体责任，建立生产经营单位负责、职工参与、政府监管、行业自律和社会监督的机制。</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必须遵守本法和其他有关安全生产的法律、法规，加强安全生产管理，建立、健全安全生产责任制和安全生产规章制度，改善安全生产条件，推进安全生产标准化建设，提高安全生产水平，确保安全生产。</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生产经营单位的主要负责人对本单位的安全生产工作全面负责。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第六条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生产经营单位的从业人员有依法获得安全生产保障的权利，并应当依法履行安全生产方面的义务。</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工会依法对安全生产工作进行监督。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生产经营单位的工会依法组织职工参加本单位安全生产工作的民主管理和民主监督，维护职工在安全生产方面的合法权益。生产经营单位制定或者修改有关安全生产的规章制度，应当听取工会的意见。</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国务院和县级以上地方各级人民政府应当根据国民经济和社会发展规划制定安全生产规划，并组织实施。安全生产规划应当与城乡规划相衔接。</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国务院安全生产监督管理部门依照本法，对全国安全生产工作实施综合监督管理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县级以上地方各级人民政府安全生产监督管理部门依照本法，对本行政区域内安全生产工作实施综合监督管理。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国务院有关部门依照本法和其他有关法律、行政法规的规定，在各自的职责范围内对有关行业、领域的安全生产工作实施监督管理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县级以上地方各级人民政府有关部门依照本法和其他有关法律、法规的规定，在各自的职责范围内对有关行业、领域的安全生产工作实施监督管理。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安全生产监督管理部门和对有关行业、领域的安全生产工作实施监督管理的部门，统称负有安全生产监督管理职责的部门。</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国务院有关部门应当按照保障安全生产的要求，依法及时制定有关的国家标准或者行业标准，并根据科技进步和经济发展适时修订。</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生产经营单位必须执行依法制定的保障安全生产的国家标准或者行业标准。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各级人民政府及其有关部门应当采取多种形式，加强对有关安全生产的法律、法规和安全生产知识的宣传，增强全社会的安全生产意识。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第十二条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有关协会组织依照法律、行政法规和章程，为生产经营单位提供安全生产方面的信息、培训等服务，发挥自律作用，促进生产经营单位加强安全生产管理。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依法设立的为安全生产提供技术、管理服务的机构，依照法律、行政法规和执业准则，接受生产经营单位的委托为其安全生产工作提供技术、管理服务。</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生产经营单位委托前款规定的机构提供安全生产技术、管理服务的，保证安全生产的责任仍由本单位负责。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国家实行生产安全事故责任追究制度，依照本法和有关法律、法规的规定，追究生产安全事故责任人员的法律责任。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国家鼓励和支持安全生产科学技术研究和安全生产先进技术的推广应用，提高安全生产水平。</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国家对在改善安全生产条件、防止生产安全事故、参加抢险救护等方面取得显著成绩的单位和个人，给予奖励。</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第二章</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生产经营单位的安全生产保障</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生产经营单位应当具备本法和有关法律、行政法规和国家标准或者行业标准规定的安全生产条件</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不具备安全生产条件的，不得从事生产经营活动。</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生产经营单位的主要负责人对本单位安全生产工作负有下列职责：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建立、健全本单位安全生产责任制</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组织制定本单位安全生产规章制度和操作规程</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保证本单位安全生产投入的有效实施</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督促、检查本单位的安全生产工作，及时消除生产安全事故隐患</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五</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组织制定并实施本单位的生产安全事故应急救援预案</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六</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及时、如实报告生产安全事故。</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七</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组织制定并实施本单位安全生产教育和培训计划</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生产经营单位的安全生产责任制应当明确各岗位的责任人员、责任范围和考核标准等内容。</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生产经营单位应当建立相应的机制，加强对安全生产责任制落实情况的监督考核，保证安全生产责任制的落实。</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生产经营单位应当具备的安全生产条件所必需的资金投入，由生产经营单位的决策机构、主要负责人或者个人经营的投资人予以保证，并对由于安全生产所必需的资金投入不足导致的后果承担责任。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矿山、金属冶炼、建筑施工、道路运输单位和危险物品的生产、经营、储存单位，应当设置安全生产管理机构或者配备专职安全生产管理人员。</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前款规定以外的其他生产经营单位，从业人员超过一百人的，应当设置安全生产管理机构或者配备专职安全生产管理人员</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从业人员在一百人以下的，应当配备专职或者兼职的安全生产管理人员。</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生产经营单位的安全生产管理机构以及安全生产管理人员履行下列职责：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组织或者参与拟订本单位安全生产规章制度、操作规程和生产安全事故应急救援预案</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组织或者参与本单位安全生产教育和培训，如实记录安全生产教育和培训情况</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督促落实本单位重大危险源的安全管理措施</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组织或者参与本单位应急救援演练</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五</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检查本单位的安全生产状况，及时排查生产安全事故隐患，提出改进安全生产管理的建议</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六</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制止和纠正违章指挥、强令冒险作业、违反操作规程的行为</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七</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督促落实本单位安全生产整改措施。</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生产经营单位的安全生产管理机构以及安全生产管理人员应当恪尽职守，依法履行职责。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生产经营单位作出涉及安全生产的经营决策，应当听取安全生产管理机构以及安全生产管理人员的意见。</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生产经营单位不得因安全生产管理人员依法履行职责而降低其工资、福利等待遇或者解除与其订立的劳动合同。</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危险物品的生产、储存单位以及矿山、金属冶炼单位的安全生产管理人员的任免，应当告知主管的负有安全生产监督管理职责的部门。</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生产经营单位的主要负责人和安全生产管理人员必须具备与本单位所从事的生产经营活动相应的安全生产知识和管理能力。</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生产经营单位应当建立安全生产教育和培训档案，如实记录安全生产教育和培训的时间、内容、参加人员以及考核结果等情况。</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生产经营单位采用新工艺、新技术、新材料或者使用新设备，必须了解、掌握其安全技术特性，采取有效的安全防护措施，并对从业人员进行专门的安全生产教育和培训。</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生产经营单位的特种作业人员必须按照国家有关规定经专门的安全作业培训，取得相应资格，方可上岗作业。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特种作业人员的范围由国务院负安全生产监督管理部门会同国务院有关部门确定。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生产经营单位新建、改建、扩建工程项目</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以下统称建设项目</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的安全设施，必须与主体工程同时设计、同时施工、同时投入生产和使用。安全设施投资应当纳入建设项目概算。</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第二十九条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矿山、金属冶炼建设项目和用于生产、储存、装卸危险物品的建设项目，应当按照国家有关规定进行安全评价。</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建设项目安全设施的设计人、设计单位应当对安全设施设计负责。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矿山、金属冶炼建设项目和用于生产、储存、装卸危险物品的建设项目的安全设施设计应当按照国家有关规定报经有关部门审查，审查部门及其负责审查的人员对审查结果负责。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矿山、金属冶炼建设项目和用于生产、储存、装卸危险物品的建设项目的施工单位必须按照批准的安全设施设计施工，并对安全设施的工程质量负责。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矿山、金属冶炼建设项目和用于生产、储存危险物品的建设项目竣工投入生产或者使用前，应当由建设单位负责组织对安全设施进行验收</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验收合格后，方可投入生产和使用。安全生产监督管理部门应当加强对建设单位验收活动和验收结果的监督核查。</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生产经营单位应当在有较大危险因素的生产经营场所和有关设施、设备上，设置明显的安全警示标志。</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安全设备的设计、制造、安装、使用、检测、维修、改造和报废，应当符合国家标准或者行业标准。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生产经营单位必须对安全设备进行经常性维护、保养，并定期检测，保证正常运转。维护、保养、检测应当作好记录，并由有关人员签字。</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国家对严重危及生产安全的工艺、设备实行淘汰制度，具体目录由国务院安全生产监督管理部门会同国务院有关部门制定并公布。法律、行政法规对目录的制定另有规定的，适用其规定。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省、自治区、直辖市人民政府可以根据本地区实际情况制定并公布具体目录，对前款规定以外的危及生产安全的工艺、设备予以淘汰。</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生产经营单位不得使用应当淘汰的危及生产安全的工艺、设备。</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生产、经营、运输、储存、使用危险物品或者处置废弃危险物品的，由有关主管部门依照有关法律、法规的规定和国家标准或者行业标准审批并实施监督管理。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生产经营单位对重大危险源应当登记建档，进行定期检测、评估、监控，并制定应急预案，告知从业人员和相关人员在紧急情况下应当采取的应急措施。</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生产经营单位应当按照国家有关规定将本单位重大危险源及有关安全措施、应急措施报有关地方人民政府安全生产监督管理部门和有关部门备案。</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生产经营单位应当建立健全生产安全事故隐患排查治理制度，采取技术、管理措施，及时发现并消除事故隐患。事故隐患排查治理情况应当如实记录，并向从业人员通报。</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县级以上地方各级人民政府负有安全生产监督管理职责的部门应当建立健全重大事故隐患治理督办制度，督促生产经营单位消除重大事故隐患。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第三十九条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生产、经营、储存、使用危险物品的车间、商店、仓库不得与员工宿舍在同一座建筑物内，并应当与员工宿舍保持安全距离。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生产经营场所和员工宿舍应当设有符合紧急疏散要求、标志明显、保持畅通的出口。禁止锁闭、封堵生产经营场所或者员工宿舍的出口。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生产经营单位进行爆破、吊装以及国务院安全生产监督管理部门会同国务院有关部门规定的其他危险作业，应当安排专门人员进行现场安全管理，确保操作规程的遵守和安全措施的落实。</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生产经营单位应当教育和督促从业人员严格执行本单位的安全生产规章制度和安全操作规程</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并向从业人员如实告知作业场所和工作岗位存在的危险因素、防范措施以及事故应急措施。</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生产经营单位必须为从业人员提供符合国家标准或者行业标准的劳动防护用品，并监督、教育从业人员按照使用规则佩戴、使用。</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生产经营单位的安全生产管理人员应当根据本单位的生产经营特点，对安全生产状况进行经常性检查</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对检查中发现的安全问题，应当立即处理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不能处理的，应当及时报告</w:t>
      </w:r>
      <w:r w:rsidRPr="003A0EB7">
        <w:rPr>
          <w:rFonts w:ascii="宋体" w:eastAsia="宋体" w:hAnsi="宋体" w:cs="Times New Roman" w:hint="eastAsia"/>
          <w:color w:val="000000"/>
          <w:spacing w:val="30"/>
          <w:kern w:val="0"/>
          <w:sz w:val="24"/>
          <w:szCs w:val="24"/>
        </w:rPr>
        <w:lastRenderedPageBreak/>
        <w:t>本单位有关负责人，有关负责人应当及时处理。检查及处理情况应当如实记录在案。</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生产经营单位应当安排用于配备劳动防护用品、进行安全生产培训的经费。</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生产经营单位不得将生产经营项目、场所、设备发包或者出租给不具备安全生产条件或者相应资质的单位或者个人。</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生产经营项目、场所发包或者出租给其他单位的，生产经营单位应当与承包单位、承租单位签订专门的安全生产管理协议，或者在承包合同、租赁合同中约定各自的安全生产管理职责</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生产经营单位对承包单位、承租单位的安全生产工作统一协调、管理，定期进行安全检查，发现安全问题的，应当及时督促整改。</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生产经营单位发生生产安全事故时，单位的主要负责人应当立即组织抢救，并不得在事故调查处理期间擅离职守。</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生产经营单位必须依法参加工伤保险，为从业人员缴纳保险费。</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国家鼓励生产经营单位投保安全生产责任保险。</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第三章</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从业人员的安全生产权利义务</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第四十九条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生产经营单位与从业人员订立的劳动合同，应当载明有关保障从业人员劳动安全、防止职业危害的事项，以及依法为从业人员办理工伤保险的事项。</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生产经营单位不得以任何形式与从业人员订立协议，免除或者减轻其对从业人员因生产安全事故伤亡依法应承担的责任。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生产经营单位的从业人员有权了解其作业场所和工作岗位存在的危险因素、防范措施及事故应急措施，有权对本单位的安全生产工作提出建议。</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从业人员有权对本单位安全生产工作中存在的问题提出批评、检举、控告</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有权拒绝违章指挥和强令冒险作业。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生产经营单位不得因从业人员对本单位安全生产工作提出批评、检举、控告或者拒绝违章指挥、强令冒险作业而降低其工资、福利等待遇或者解除与其订立的劳动合同。</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从业人员发现直接危及人身安全的紧急情况时，有权停止作业或者在采取可能的应急措施后撤离作业场所。</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生产经营单位不得因从业人员在前款紧急情况下停止作业或者采取紧急撤离措施而降低其工资、福利等待遇或者解除与其订立的劳动合同。</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因生产安全事故受到损害的从业人员，除依法享有工伤保险外，依照有关民事法律尚有获得赔偿的权利的，有权向本单位提出赔偿要求。</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从业人员在作业过程中，应当严格遵守本单位的安全生产规章制度和操作规程，服从管理，正确佩戴和使用劳动防护用品。</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从业人员应当接受安全生产教育和培训，掌握本职工作所需的安全生产知识，提高安全生产技能，增强事故预防和应急处理能力。</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从业人员发现事故隐患或者其他不安全因素，应当立即向现场安全生产管理人员或者本单位负责人报告</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接到报告的人员应当及时予以处理。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工会有权对建设项目的安全设施与主体工程同时设计、同时施工、同时投入生产和使用进行监督，提出意见。</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工会对生产经营单位违反安全生产法律、法规，侵犯从业人员合法权益的行为，有权要求纠正</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发现生产经营单位违章指挥、强令冒险作业或者发现事故隐患时，有权提出解决的建议，生产经营单位应当及时研究答复</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发现危及从业人员生命安全的情况时，有权向生产经营单位建议组织从业人员撤离危险场所，生产经营单位必须立即作出处理。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工会有权依法参加事故调查，向有关部门提出处理意见，并要求追究有关人员的责任。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生产经营单位使用被派遣劳动者的，被派遣劳动者享有本法规定的从业人员的权利，并应当履行本法规定的从业人员的义务。</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第四章</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安全生产的监督管理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第五十九条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县级以上地方各级人民政府应当根据本行政区域内的安全生产状况，组织有关部门按照职责分工，对本行政区域内容易发生重大生产安全事故的生产经营单位进行严格检查。</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安全生产监督管理部门应当按照分类分级监督管理的要求，制定安全生产年度监督检查计划，并按照年度监督检查计划进行监督检查，发现事故隐患，应当及时处理。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负有安全生产监督管理职责的部门依照有关法律、法规的规定，对涉及安全生产的事项需要审查批准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包括批准、核准、许可、注册、认证、颁发证照等，下同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或者验收的，必须严格依照有关法律、法规和国家标准或者行业标准规定的安全生产条件和程序进行审查</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负有安全生产监督管理职责的部门对涉及安全生产的事项进行审查、验收，不得收取费用</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不得要求接受审查、验收的单位购买其指定品牌或者指定生产、销售单位的安全设备、器材或者其他产品。</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进入生产经营单位进行检查，调阅有关资料，向有关单位和人员了解情况</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对检查中发现的安全生产违法行为，当场予以纠正或者要求限期改正</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对依法应当给予行政处罚的行为，依照本法和其他有关法律、行政法规的规定作出行政处罚决定</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对检查中发现的事故隐患，应当责令立即排除</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重大事故隐患排除前或者排除过程中无法保证安全的，应当责令从危险区域内撤出作业人员，责令暂时停产停业或者停止使用相关设施、设备</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重大事故隐患排除后，经审查同意，方可恢复生产经营和使用</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监督检查不得影响被检查单位的正常生产经营活动。</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第六十三条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生产经营单位对负有安全生产监督管理职责的部门的监督检查人员</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以下统称安全生产监督检查人员</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依法履行监督检查职责，应当予以配合，不得拒绝、阻挠。</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安全生产监督检查人员应当忠于职守，坚持原则，秉公执法。</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安全生产监督检查人员执行监督检查任务时，必须出示有效的监督执法证件</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对涉及被检查单位的技术秘密和业务秘密，应当为其保密。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安全生产监督检查人员应当将检查的时间、地点、内容、发现的问题及其处理情况，作出书面记录，并由检查人员和被检查单位的负责人签字</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被检查单位的负责人拒绝签字的，检查人员应当将情况记录在案，并向负有安全生产监督管理职责的部门报告。</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负有安全生产监督管理职责的部门在监督检查中，应当互相配合，实行联合检查</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确需分别进行检查的，应当互通情况，发现存在的安全问题应当由其他有关部门进行处理的，应当及时移送其他有关部门并形成记录备查，接受移送的部门应当及时进行处理。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监察机关依照行政监察法的规定，对负有安全生产监督管理职责的部门及其工作人员履行安全生产监督管理职责实施监察。</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第六十九条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承担安全评价、认证、检测、检验的机构应当具备国家规定的资质条件，并对其作出的安全评价、认证、检测、检验的结果负责。</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第七十条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负有安全生产监督管理职责的部门应当建立举报制度，公开举报电话、信箱或者电子邮件地址，受理有关安全生产的举报</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受理的举报事项经调查核实后，应当形成书面材料</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需要落实整改措施的，报经有关负责人签字并督促落实。</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任何单位或者个人对事故隐患或者安全生产违法行为，均有权向负有安全生产监督管理职责的部门报告或者举报。</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居民委员会、村民委员会发现其所在区域内的生产经营单位存在事故隐患或者安全生产违法行为时，应当向当地人民政府或者有关部门报告。</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县级以上各级人民政府及其有关部门对报告重大事故隐患或者举报安全生产违法行为的有功人员，给予奖励。具体奖励办法由国务院安全生产监督管理部门会同国务院财政部门制定。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新闻、出版、广播、电影、电视等单位有进行安全生产公益宣传教育的义务，有对违反安全生产法律、法规的行为进行舆论监督的权利。</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负有安全生产监督管理职责的部门应当建立安全生产违法行为信息库，如实记录生产经营单位的安全生产违法行为信息</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对违法行为情节严重的生产经营单位，应当向社会公告，并通报行业主管部门、投资主管部门、国土资源主管部门、证券监督管理机构以及有关金融机构。</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第五章</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生产安全事故的应急救援与调查处理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国家加强生产安全事故应急能力建设，在重点行业、领域建立应急救援基地和应急救援队伍，鼓励生产经营单位和其他社会力量建立应急救援队伍，配备相应的应急救援装备和物资，提高应急救援的专业化水平。</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国务院安全生产监督管理部门建立全国统一的生产安全事故应急救援信息系统，国务院有关部门建立健全相关行业、领域的生产安全事故应急救援信息系统。</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县级以上地方各级人民政府应当组织有关部门制定本行政区域内特大生产安全事故应急救援预案，建立应急救援体系。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第七十八条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生产经营单位应当制定本单位生产安全事故应急救援预案，与所在地县级以上地方人民政府组织制定的生产安全事故应急救援预案相衔接，并定期组织演练。</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第七十九条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危险物品的生产、经营、储存单位以及矿山、金属冶炼、城市轨道交通运营、建筑施工单位应当建立应急救援组织</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生产经营规模较小的，可以不建立应急救援组织，但应当指定兼职的应急救援人员。</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危险物品的生产、经营、储存、运输单位以及矿山、金属冶炼、城市轨道交通运营、建筑施工单位应当配备必要的应急救援器材、设备和物资，并进行经常性维护、保养，保证正常运转。</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生产经营单位发生生产安全事故后，事故现场有关人员应当立即报告本单位负责人。</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负有安全生产监督管理职责的部门接到事故报告后，应当立即按照国家有关规定上报事故情况。负有安全生产监督管理职责的部门和有关地方人民政府对事故情况不得隐瞒不报、谎报或者迟报。</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有关地方人民政府和负有安全生产监督管理职责的部门的负责人接到生产安全事故报告后，应当按照生产安全事故应急救援预案的要求立即赶到事故现场，组织事故抢救。</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参与事故抢救的部门和单位应当服从统一指挥，加强协同联动，采取有效的应急救援措施，并根据事故救援的需要采取警戒、疏散等措施，防止事故扩大和次生灾害的发生，减少人员伤亡和财产损失。</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事故抢救过程中应当采取必要措施，避免或者减少对环境造成的危害。</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任何单位和个人都应当支持、配合事故抢救，并提供一切便利条件。</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事故发生单位应当及时全面落实整改措施，负有安全生产监督管理职责的部门应当加强监督检查。</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第八十四条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七十七条的规定追究法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任何单位和个人不得阻挠和干涉对事故的依法调查处理。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县级以上地方各级人民政府安全生产监督管理部门应当定期统计分析本行政区域内发生生产安全事故的情况，并定期向社会公布。</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第六章</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法律责任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负有安全生产监督管理职责的部门的工作人员，有下列行为之一的，给予降级或者撤职的处分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对不符合法定安全生产条件的涉及安全生产的事项予以批准或者验收通过的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发现未依法取得批准、验收的单位擅自从事有关活动或者接到举报后不予取缔或者不依法予以处理的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对已经依法取得批准的单位不履行监督管理职责，发现其不再具备安全生产条件而不撤销原批准或者发现安全生产违法行为不予查处的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在监督检查中发现重大事故隐患，不依法及时处理的。</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负有安全生产监督管理职责的部门的工作人员有前款规定以外的滥用职权、玩忽职守、徇私舞弊行为的，依法给予处分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负有安全生产监督管理职责的部门，要求被审查、验收的单位购买其指定的安全设备、器材或者其他产品的，在对安全生产事项的审查、验收中收取费用的，由其上级机关或者监察机关责令改正，责令退还收取的费用</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情节严重的，对直接负责的主管人员和其他直接责任人员依法给予处分。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第八十九条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承担安全评价、认证、检测、检验工作的机构，出具虚假证明的，没收违法所得</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违法所得在十万元以上的，并处违法所得二倍以上五倍以下的罚款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没有违法所得或者违法所得不足十万元的，单处或者并处十万元以上二十万元以下的罚款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对其直接负责的主管人员和其他直接责任人员处二万元以上五万元以下的罚款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给他人造成损害的，与生产经营单位承担连带赔偿责任</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对有前款违法行为的机构，吊销其相应资质。</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生产经营单位的决策机构、主要负责人或者个人经营的投资人不依照本法规定保证安全生产所必需的资金投入，致使生产经营单位不具备安全生产条件的，责令限期改正，提供必需的资金</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逾期未改正的，责令生产经营单位停产停业整顿。</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有前款违法行为，导致发生生产安全事故的，对生产经营单位的主要负责人给予撤职处分，对个人经营的投资人处二万元以上二十万元以下的罚款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生产经营单位的主要负责人未履行本法规定的安全生产管理职责的，责令限期改正</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逾期未改正的，处二万元以上五万元以下的罚款，责令生产经营单位停产停业整顿。</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生产经营单位的主要负责人有前款违法行为，导致发生生产安全事故的，给予撤职处分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生产经营单位的主要负责人依照前款规定受刑事处罚或者撤职处分的，自刑罚执行完毕或者受处分之日起，五年内不得担任任何生产经营单位的主要负责人</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对重大、特别重大生产安全事故负有责任的，终身不得担任本行业生产经营单位的主要负责人。</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生产经营单位的主要负责人未履行本法规定的安全生产管理职责，导致发生生产安全事故的，由安全生产监督管理部门依照下列规定处以罚款：</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发生一般事故的，处上一年年收入百分之三十的罚款</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发生较大事故的，处上一年年收入百分之四十的罚款</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发生重大事故的，处上一年年收入百分之六十的罚款</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发生特别重大事故的，处上一年年收入百分之八十的罚款。</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生产经营单位的安全生产管理人员未履行本法规定的安全生产管理职责的，责令限期改正</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导致发生生产安全事故的，暂停或者撤销其与安全生产有关的资格</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生产经营单位有下列行为之一的，责令限期改正，可以处五万元以下的罚款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逾期未改正的，责令停产停业整顿，并处五万元以上十万元以下的罚款，对其直接负责的主管人员和其他直接责任人员处一万元以上二万元以下的罚款：</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未按照规定设置安全生产管理机构或者配备安全生产管理人员的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lastRenderedPageBreak/>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危险物品的生产、经营、储存单位以及矿山、金属冶炼、建筑施工、道路运输单位的主要负责人和安全生产管理人员未按照规定经考核合格的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未按照规定对从业人员、被派遣劳动者、实习学生进行安全生产教育和培训，或者未按照规定如实告知有关的安全生产事项的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未如实记录安全生产教育和培训情况的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五</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未将事故隐患排查治理情况如实记录或者未向从业人员通报的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六</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未按照规定制定生产安全事故应急救援预案或者未定期组织演练的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七</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特种作业人员未按照规定经专门的安全作业培训并取得相应资格，上岗作业的。</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第九十五条　生产经营单位有下列行为之一的，责令停止建设或者停产停业整顿，限期改正</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逾期未改正的，处五十万元以上一百万元以下的罚款，对其直接负责的主管人员和其他直接责任人员处二万元以上五万元以下的罚款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未按照规定对矿山、金属冶炼建设项目或者用于生产、储存、装卸危险物品的建设项目进行安全评价的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矿山、金属冶炼建设项目或者用于生产、储存、装卸危险物品的建设项目没有安全设施设计或者安全设施设计未按照规定报经有关部门审查同意的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矿山、金属冶炼建设项目或者用于生产、储存、装卸危险物品的建设项目的施工单位未按照批准的安全设施设计施工的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矿山、金属冶炼建设项目或者用于生产、储存危险物品的建设项目竣工投入生产或者使用前，安全设施未经验收合格的。</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第九十六条　生产经营单位有下列行为之一的，责令限期改正，可以处五万元以下的罚款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逾期未改正的，处五万元以上二十万元以下的罚款，对其直接负责的主管人员和其他直接责任人员处一万元以上二万元以下的罚款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情节严重的，责令停产停业整顿</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未在有较大危险因素的生产经营场所和有关设施、设备上设置明显的安全警示标志的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安全设备的安装、使用、检测、改造和报废不符合国家标准或者行业标准的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lastRenderedPageBreak/>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未对安全设备进行经常性维护、保养和定期检测的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未为从业人员提供符合国家标准或者行业标准的劳动防护用品的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五</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危险物品的容器、运输工具，以及涉及人身安全、危险性较大的海洋石油开采特种设备和矿山井下特种设备未经具有专业资质的机构检测、检验合格，取得安全使用证或者安全标志，投入使用的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六</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使用应当淘汰的危及生产安全的工艺、设备的。</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未经依法批准，擅自生产、经营、运输、储存、使用危险物品或者处置废弃危险物品的，依照有关危险物品安全管理的法律、行政法规的规定予以处罚</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生产经营单位有下列行为之一的，责令限期改正，可以处十万元以下的罚款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逾期未改正的，责令停产停业整顿，并处十万元以上二十万元以下的罚款，对其直接负责的主管人员和其他直接责任人员处二万元以上五万元以下的罚款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生产、经营、运输、储存、使用危险物品或者处置废弃危险物品，未建立专门安全管理制度、未采取可靠的安全措施的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对重大危险源未登记建档，或者未进行评估、监控，或者未制定应急预案的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进行爆破、吊装以及国务院安全生产监督管理部门会同国务院有关部门规定的其他危险作业，未安排专门人员进行现场安全管理的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未建立事故隐患排查治理制度的。</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第九十九条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生产经营单位未采取措施消除事故隐患的，责令立即消除或者限期消除</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生产经营单位拒不执行的，责令停产停业整顿，并处十万元以上五十万元以下的罚款，对其直接负责的主管人员和其他直接责任人员处二万元以上五万元以下的罚款。</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生产经营单位将生产经营项目、场所、设备发包或者出租给不具备安全生产条件或者相应资质的单位或者个人的，责令限期改正，没收违法所得</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违法所得十万元以上的，并处违法所得二倍以上五倍以下的罚款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没有违法所得或者违法所得不足十万元的，单处或者并处十万元以上二十万元以下的罚款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对其直接负责的主管人员和其他直接责任人员处一万元以上二万元以下的罚款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导致发生生产安全事故给他人造成损害的，与承包方、承租方承担连带赔偿责任。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逾期未改正的，责令停产停业整顿。</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逾期未改正的，责令停产停业。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生产经营单位有下列行为之一的，责令限期改正，可以处五万元以下的罚款，对其直接负责的主管人员和其他直接责任人员可以处一万元以下的罚款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逾期未改正的，责令停产停业整顿</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生产、经营、储存、使用危险物品的车间、商店、仓库与员工宿舍在同一座建筑内，或者与员工宿舍的距离不符合安全要求的</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生产经营场所和员工宿舍未设有符合紧急疏散需要、标志明显、保持畅通的出口，或者锁闭、封堵生产经营场所或者员工宿舍出口的。</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生产经营单位与从业人员订立协议，免除或者减轻其对从业人员因生产安全事故伤亡依法应承担的责任的，该协议无效</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对生产经营单位的主要负责人、个人经营的投资人处二万元以上十万元以下的罚款。</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生产经营单位的从业人员不服从管理，违反安全生产规章制度或者操作规程的，由生产经营单位给予批评教育，依照有关规章制度给予处分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第一百零五条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违反本法规定，生产经营单位拒绝、阻碍负有安全生产监督管理职责的部门依法实施监督检查的，责令改正</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拒不改正的，处二万元以上二十万元以下的罚款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对其直接负责的主管人员和其他直接责任人员处一万元以上二万元以下的罚款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第一百零六条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生产经营单位的主要负责人在本单位发生生产安全事故时，不立即组织抢救或者在事故调查处理期间擅离职</w:t>
      </w:r>
      <w:r w:rsidRPr="003A0EB7">
        <w:rPr>
          <w:rFonts w:ascii="宋体" w:eastAsia="宋体" w:hAnsi="宋体" w:cs="Times New Roman" w:hint="eastAsia"/>
          <w:color w:val="000000"/>
          <w:spacing w:val="30"/>
          <w:kern w:val="0"/>
          <w:sz w:val="24"/>
          <w:szCs w:val="24"/>
        </w:rPr>
        <w:lastRenderedPageBreak/>
        <w:t>守或者逃匿的，给予降级、撤职的处分，并由安全生产监督管理部门处上一年年收入百分之六十至百分之一百的罚款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对逃匿的处十五日以下拘留</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生产经营单位的主要负责人对生产安全事故隐瞒不报、谎报或者迟报的，依照前款规定处罚。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第一百零七条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有关地方人民政府、负有安全生产监督管理职责的部门，对生产安全事故隐瞒不报、谎报或者迟报的，对直接负责的主管人员和其他直接责任人员依法给予处分</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构成犯罪的，依照刑法有关规定追究刑事责任。</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第一百零八条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生产经营单位不具备本法和其他有关法律、行政法规和国家标准或者行业标准规定的安全生产条件，经停产停业整顿仍不具备安全生产条件的，予以关闭</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有关部门应当依法吊销其有关证照。</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第一百零九条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发生生产安全事故，对负有责任的生产经营单位除要求其依法承担相应的赔偿等责任外，由安全生产监督管理部门依照下列规定处以罚款：</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一</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发生一般事故的，处二十万元以上五十万元以下的罚款</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二</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发生较大事故的，处五十万元以上一百万元以下的罚款</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三</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发生重大事故的，处一百万元以上五百万元以下的罚款</w:t>
      </w:r>
      <w:r w:rsidRPr="003A0EB7">
        <w:rPr>
          <w:rFonts w:ascii="ˎ̥" w:eastAsia="宋体" w:hAnsi="ˎ̥" w:cs="Times New Roman"/>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四</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发生特别重大事故的，处五百万元以上一千万元以下的罚款</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情节特别严重的，处一千万元以上二千万元以下的罚款。</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第一百一十条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给予拘留的行政处罚由公安机关依照治安管理处罚法的规定决定。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第一百一十一条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生产经营单位发生生产安全事故造成人员伤亡、他人财产损失的，应当依法承担赔偿责任</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拒不承担或者其负责人逃匿的，由人民法院依法强制执行。</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生产安全事故的责任人未依法承担赔偿责任，经人民法院依法采取执行措施后，仍不能对受害人给予足额赔偿的，应当继续履行赔偿义务</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受害人发现责任人有其他财产的，可以随时请求人民法院执行。</w:t>
      </w:r>
    </w:p>
    <w:p w:rsidR="003A0EB7" w:rsidRPr="003A0EB7" w:rsidRDefault="003A0EB7" w:rsidP="003A0EB7">
      <w:pPr>
        <w:widowControl/>
        <w:shd w:val="clear" w:color="auto" w:fill="FFFFFF"/>
        <w:spacing w:line="375" w:lineRule="atLeast"/>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kern w:val="0"/>
          <w:sz w:val="24"/>
          <w:szCs w:val="24"/>
        </w:rPr>
        <w:t>第七章</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附</w:t>
      </w:r>
      <w:r w:rsidRPr="003A0EB7">
        <w:rPr>
          <w:rFonts w:ascii="ˎ̥" w:eastAsia="宋体" w:hAnsi="ˎ̥" w:cs="Times New Roman"/>
          <w:color w:val="000000"/>
          <w:kern w:val="0"/>
          <w:sz w:val="24"/>
          <w:szCs w:val="24"/>
        </w:rPr>
        <w:t> </w:t>
      </w:r>
      <w:r w:rsidRPr="003A0EB7">
        <w:rPr>
          <w:rFonts w:ascii="宋体" w:eastAsia="宋体" w:hAnsi="宋体" w:cs="Times New Roman" w:hint="eastAsia"/>
          <w:color w:val="000000"/>
          <w:kern w:val="0"/>
          <w:sz w:val="24"/>
          <w:szCs w:val="24"/>
        </w:rPr>
        <w:t>则</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第一百一十二条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本法下列用语的含义：</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lastRenderedPageBreak/>
        <w:t>危险物品，是指易燃易爆物品、危险化学品、放射性物品等能够危及人身安全和财产安全的物品。</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重大危险源，是指长期地或者临时地生产、搬运、使用或者储存危险物品，且危险物品的数量等于或者超过临界量的单元</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包括场所和设施</w:t>
      </w:r>
      <w:r w:rsidRPr="003A0EB7">
        <w:rPr>
          <w:rFonts w:ascii="ˎ̥" w:eastAsia="宋体" w:hAnsi="ˎ̥" w:cs="Times New Roman"/>
          <w:color w:val="000000"/>
          <w:spacing w:val="30"/>
          <w:kern w:val="0"/>
          <w:sz w:val="24"/>
          <w:szCs w:val="24"/>
        </w:rPr>
        <w:t>)</w:t>
      </w:r>
      <w:r w:rsidRPr="003A0EB7">
        <w:rPr>
          <w:rFonts w:ascii="宋体" w:eastAsia="宋体" w:hAnsi="宋体" w:cs="Times New Roman" w:hint="eastAsia"/>
          <w:color w:val="000000"/>
          <w:spacing w:val="30"/>
          <w:kern w:val="0"/>
          <w:sz w:val="24"/>
          <w:szCs w:val="24"/>
        </w:rPr>
        <w:t>。</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第一百一十三条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本法规定的生产安全一般事故、较大事故、重大事故、特别重大事故的划分标准由国务院规定。</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国务院安全生产监督管理部门和其他负有安全生产监督管理职责的部门应当根据各自的职责分工，制定相关行业、领域重大事故隐患的判定标准。</w:t>
      </w:r>
    </w:p>
    <w:p w:rsidR="003A0EB7" w:rsidRPr="003A0EB7" w:rsidRDefault="003A0EB7" w:rsidP="003A0EB7">
      <w:pPr>
        <w:widowControl/>
        <w:shd w:val="clear" w:color="auto" w:fill="FFFFFF"/>
        <w:spacing w:line="375" w:lineRule="atLeast"/>
        <w:ind w:firstLine="480"/>
        <w:jc w:val="left"/>
        <w:rPr>
          <w:rFonts w:ascii="Times New Roman" w:eastAsia="宋体" w:hAnsi="Times New Roman" w:cs="Times New Roman"/>
          <w:color w:val="000000"/>
          <w:kern w:val="0"/>
          <w:szCs w:val="21"/>
        </w:rPr>
      </w:pPr>
      <w:r w:rsidRPr="003A0EB7">
        <w:rPr>
          <w:rFonts w:ascii="宋体" w:eastAsia="宋体" w:hAnsi="宋体" w:cs="Times New Roman" w:hint="eastAsia"/>
          <w:color w:val="000000"/>
          <w:spacing w:val="30"/>
          <w:kern w:val="0"/>
          <w:sz w:val="24"/>
          <w:szCs w:val="24"/>
        </w:rPr>
        <w:t>第一百一十四条</w:t>
      </w:r>
      <w:r w:rsidRPr="003A0EB7">
        <w:rPr>
          <w:rFonts w:ascii="ˎ̥" w:eastAsia="宋体" w:hAnsi="ˎ̥" w:cs="Times New Roman"/>
          <w:color w:val="000000"/>
          <w:spacing w:val="30"/>
          <w:kern w:val="0"/>
          <w:sz w:val="24"/>
          <w:szCs w:val="24"/>
        </w:rPr>
        <w:t> </w:t>
      </w:r>
      <w:r w:rsidRPr="003A0EB7">
        <w:rPr>
          <w:rFonts w:ascii="宋体" w:eastAsia="宋体" w:hAnsi="宋体" w:cs="Times New Roman" w:hint="eastAsia"/>
          <w:color w:val="000000"/>
          <w:spacing w:val="30"/>
          <w:kern w:val="0"/>
          <w:sz w:val="24"/>
          <w:szCs w:val="24"/>
        </w:rPr>
        <w:t>本法自</w:t>
      </w:r>
      <w:r w:rsidRPr="003A0EB7">
        <w:rPr>
          <w:rFonts w:ascii="ˎ̥" w:eastAsia="宋体" w:hAnsi="ˎ̥" w:cs="Times New Roman"/>
          <w:color w:val="000000"/>
          <w:spacing w:val="30"/>
          <w:kern w:val="0"/>
          <w:sz w:val="24"/>
          <w:szCs w:val="24"/>
        </w:rPr>
        <w:t>2002</w:t>
      </w:r>
      <w:r w:rsidRPr="003A0EB7">
        <w:rPr>
          <w:rFonts w:ascii="宋体" w:eastAsia="宋体" w:hAnsi="宋体" w:cs="Times New Roman" w:hint="eastAsia"/>
          <w:color w:val="000000"/>
          <w:spacing w:val="30"/>
          <w:kern w:val="0"/>
          <w:sz w:val="24"/>
          <w:szCs w:val="24"/>
        </w:rPr>
        <w:t>年</w:t>
      </w:r>
      <w:r w:rsidRPr="003A0EB7">
        <w:rPr>
          <w:rFonts w:ascii="ˎ̥" w:eastAsia="宋体" w:hAnsi="ˎ̥" w:cs="Times New Roman"/>
          <w:color w:val="000000"/>
          <w:spacing w:val="30"/>
          <w:kern w:val="0"/>
          <w:sz w:val="24"/>
          <w:szCs w:val="24"/>
        </w:rPr>
        <w:t>11</w:t>
      </w:r>
      <w:r w:rsidRPr="003A0EB7">
        <w:rPr>
          <w:rFonts w:ascii="宋体" w:eastAsia="宋体" w:hAnsi="宋体" w:cs="Times New Roman" w:hint="eastAsia"/>
          <w:color w:val="000000"/>
          <w:spacing w:val="30"/>
          <w:kern w:val="0"/>
          <w:sz w:val="24"/>
          <w:szCs w:val="24"/>
        </w:rPr>
        <w:t>月</w:t>
      </w:r>
      <w:r w:rsidRPr="003A0EB7">
        <w:rPr>
          <w:rFonts w:ascii="ˎ̥" w:eastAsia="宋体" w:hAnsi="ˎ̥" w:cs="Times New Roman"/>
          <w:color w:val="000000"/>
          <w:spacing w:val="30"/>
          <w:kern w:val="0"/>
          <w:sz w:val="24"/>
          <w:szCs w:val="24"/>
        </w:rPr>
        <w:t>1</w:t>
      </w:r>
      <w:r w:rsidRPr="003A0EB7">
        <w:rPr>
          <w:rFonts w:ascii="宋体" w:eastAsia="宋体" w:hAnsi="宋体" w:cs="Times New Roman" w:hint="eastAsia"/>
          <w:color w:val="000000"/>
          <w:spacing w:val="30"/>
          <w:kern w:val="0"/>
          <w:sz w:val="24"/>
          <w:szCs w:val="24"/>
        </w:rPr>
        <w:t>日起施行。</w:t>
      </w:r>
    </w:p>
    <w:p w:rsidR="006902DE" w:rsidRPr="003A0EB7" w:rsidRDefault="006902DE"/>
    <w:sectPr w:rsidR="006902DE" w:rsidRPr="003A0EB7" w:rsidSect="003319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3FD" w:rsidRDefault="003C73FD" w:rsidP="003A0EB7">
      <w:r>
        <w:separator/>
      </w:r>
    </w:p>
  </w:endnote>
  <w:endnote w:type="continuationSeparator" w:id="1">
    <w:p w:rsidR="003C73FD" w:rsidRDefault="003C73FD" w:rsidP="003A0E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3FD" w:rsidRDefault="003C73FD" w:rsidP="003A0EB7">
      <w:r>
        <w:separator/>
      </w:r>
    </w:p>
  </w:footnote>
  <w:footnote w:type="continuationSeparator" w:id="1">
    <w:p w:rsidR="003C73FD" w:rsidRDefault="003C73FD" w:rsidP="003A0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0EB7"/>
    <w:rsid w:val="0033190F"/>
    <w:rsid w:val="003A0EB7"/>
    <w:rsid w:val="003C73FD"/>
    <w:rsid w:val="006902DE"/>
    <w:rsid w:val="00B134A1"/>
    <w:rsid w:val="00CC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0EB7"/>
    <w:rPr>
      <w:sz w:val="18"/>
      <w:szCs w:val="18"/>
    </w:rPr>
  </w:style>
  <w:style w:type="paragraph" w:styleId="a4">
    <w:name w:val="footer"/>
    <w:basedOn w:val="a"/>
    <w:link w:val="Char0"/>
    <w:uiPriority w:val="99"/>
    <w:semiHidden/>
    <w:unhideWhenUsed/>
    <w:rsid w:val="003A0E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0EB7"/>
    <w:rPr>
      <w:sz w:val="18"/>
      <w:szCs w:val="18"/>
    </w:rPr>
  </w:style>
  <w:style w:type="character" w:customStyle="1" w:styleId="apple-converted-space">
    <w:name w:val="apple-converted-space"/>
    <w:basedOn w:val="a0"/>
    <w:rsid w:val="003A0EB7"/>
  </w:style>
  <w:style w:type="character" w:styleId="a5">
    <w:name w:val="Hyperlink"/>
    <w:basedOn w:val="a0"/>
    <w:uiPriority w:val="99"/>
    <w:semiHidden/>
    <w:unhideWhenUsed/>
    <w:rsid w:val="003A0EB7"/>
    <w:rPr>
      <w:color w:val="0000FF"/>
      <w:u w:val="single"/>
    </w:rPr>
  </w:style>
</w:styles>
</file>

<file path=word/webSettings.xml><?xml version="1.0" encoding="utf-8"?>
<w:webSettings xmlns:r="http://schemas.openxmlformats.org/officeDocument/2006/relationships" xmlns:w="http://schemas.openxmlformats.org/wordprocessingml/2006/main">
  <w:divs>
    <w:div w:id="13297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jj.jingchuan.gov.cn/html/2014/09/javascript%EF%BC%9A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jj.jingchuan.gov.cn/html/2014/09/javascript%EF%BC%9Avoid(0);" TargetMode="External"/><Relationship Id="rId12" Type="http://schemas.openxmlformats.org/officeDocument/2006/relationships/hyperlink" Target="http://ajj.jingchuan.gov.cn/html/2014/09/javascript%EF%BC%9A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jj.jingchuan.gov.cn/html/2014/09/javascript%EF%BC%9Avoid(0);" TargetMode="External"/><Relationship Id="rId11" Type="http://schemas.openxmlformats.org/officeDocument/2006/relationships/hyperlink" Target="http://ajj.jingchuan.gov.cn/html/2014/09/javascript%EF%BC%9Avoid(0);" TargetMode="External"/><Relationship Id="rId5" Type="http://schemas.openxmlformats.org/officeDocument/2006/relationships/endnotes" Target="endnotes.xml"/><Relationship Id="rId10" Type="http://schemas.openxmlformats.org/officeDocument/2006/relationships/hyperlink" Target="http://ajj.jingchuan.gov.cn/html/2014/09/javascript%EF%BC%9Avoid(0);" TargetMode="External"/><Relationship Id="rId4" Type="http://schemas.openxmlformats.org/officeDocument/2006/relationships/footnotes" Target="footnotes.xml"/><Relationship Id="rId9" Type="http://schemas.openxmlformats.org/officeDocument/2006/relationships/hyperlink" Target="http://ajj.jingchuan.gov.cn/html/2014/09/javascript%EF%BC%9Avoid(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2536</Words>
  <Characters>14461</Characters>
  <Application>Microsoft Office Word</Application>
  <DocSecurity>0</DocSecurity>
  <Lines>120</Lines>
  <Paragraphs>33</Paragraphs>
  <ScaleCrop>false</ScaleCrop>
  <Company>微软中国</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2015-04-24T06:12:00Z</dcterms:created>
  <dcterms:modified xsi:type="dcterms:W3CDTF">2015-04-28T08:44:00Z</dcterms:modified>
</cp:coreProperties>
</file>