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37" w:line="219" w:lineRule="auto"/>
        <w:ind w:left="318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河南省农业农村厅</w:t>
      </w:r>
    </w:p>
    <w:p>
      <w:pPr>
        <w:spacing w:before="224" w:line="219" w:lineRule="auto"/>
        <w:ind w:left="98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5"/>
          <w:sz w:val="42"/>
          <w:szCs w:val="42"/>
        </w:rPr>
        <w:t>关于持续做好2024年防止返贫动态监测和</w:t>
      </w:r>
    </w:p>
    <w:p>
      <w:pPr>
        <w:spacing w:before="181" w:line="219" w:lineRule="auto"/>
        <w:ind w:left="256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7"/>
          <w:sz w:val="42"/>
          <w:szCs w:val="42"/>
        </w:rPr>
        <w:t>帮扶工作有关事宜的通知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105" w:line="221" w:lineRule="auto"/>
        <w:ind w:left="389"/>
      </w:pPr>
      <w:r>
        <w:rPr>
          <w:spacing w:val="3"/>
        </w:rPr>
        <w:t>各省辖市、济源示范区农业农村局(乡村振兴局):</w:t>
      </w:r>
    </w:p>
    <w:p>
      <w:pPr>
        <w:pStyle w:val="2"/>
        <w:spacing w:before="208" w:line="340" w:lineRule="auto"/>
        <w:ind w:left="389" w:right="438" w:firstLine="639"/>
        <w:jc w:val="both"/>
      </w:pPr>
      <w:r>
        <w:rPr>
          <w:spacing w:val="7"/>
        </w:rPr>
        <w:t>为深入学习贯彻习近平总书记关于“三农”工作的重要论</w:t>
      </w:r>
      <w:r>
        <w:rPr>
          <w:spacing w:val="8"/>
        </w:rPr>
        <w:t xml:space="preserve"> </w:t>
      </w:r>
      <w:r>
        <w:rPr>
          <w:spacing w:val="-5"/>
        </w:rPr>
        <w:t>述，落实中央和省委一号文件部署要求，进一步健全防止返贫动</w:t>
      </w:r>
      <w:r>
        <w:rPr>
          <w:spacing w:val="9"/>
        </w:rPr>
        <w:t xml:space="preserve"> </w:t>
      </w:r>
      <w:r>
        <w:rPr>
          <w:spacing w:val="6"/>
        </w:rPr>
        <w:t>态监测帮扶机制，现就做好2024年防止返贫动态监测和帮扶工</w:t>
      </w:r>
    </w:p>
    <w:p>
      <w:pPr>
        <w:pStyle w:val="2"/>
        <w:spacing w:line="220" w:lineRule="auto"/>
        <w:ind w:left="389"/>
      </w:pPr>
      <w:r>
        <w:rPr>
          <w:spacing w:val="-9"/>
        </w:rPr>
        <w:t>作有关事宜通知如下。</w:t>
      </w:r>
    </w:p>
    <w:p>
      <w:pPr>
        <w:spacing w:before="198" w:line="221" w:lineRule="auto"/>
        <w:ind w:left="103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一、明确</w:t>
      </w:r>
      <w:r>
        <w:rPr>
          <w:rFonts w:ascii="Times New Roman" w:hAnsi="Times New Roman" w:eastAsia="Times New Roman" w:cs="Times New Roman"/>
          <w:b/>
          <w:bCs/>
          <w:spacing w:val="-4"/>
          <w:sz w:val="32"/>
          <w:szCs w:val="32"/>
        </w:rPr>
        <w:t xml:space="preserve">2024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年防止返贫监测范围</w:t>
      </w:r>
    </w:p>
    <w:p>
      <w:pPr>
        <w:pStyle w:val="2"/>
        <w:spacing w:before="217" w:line="341" w:lineRule="auto"/>
        <w:ind w:left="389" w:right="446" w:firstLine="639"/>
        <w:jc w:val="both"/>
      </w:pPr>
      <w:r>
        <w:rPr>
          <w:spacing w:val="5"/>
        </w:rPr>
        <w:t>以2023年全省农村居民人均可支配收入增幅、2024年农村</w:t>
      </w:r>
      <w:r>
        <w:rPr>
          <w:spacing w:val="15"/>
        </w:rPr>
        <w:t xml:space="preserve"> </w:t>
      </w:r>
      <w:r>
        <w:rPr>
          <w:spacing w:val="-5"/>
        </w:rPr>
        <w:t>低保边缘人口划线标准等因素为调整依据，综合考虑家庭收入支</w:t>
      </w:r>
      <w:r>
        <w:rPr>
          <w:spacing w:val="2"/>
        </w:rPr>
        <w:t xml:space="preserve"> </w:t>
      </w:r>
      <w:r>
        <w:rPr>
          <w:spacing w:val="-6"/>
        </w:rPr>
        <w:t>出、“三保障”及饮水安全、返贫致贫风险等因素，经报中共河</w:t>
      </w:r>
      <w:r>
        <w:rPr>
          <w:spacing w:val="6"/>
        </w:rPr>
        <w:t xml:space="preserve"> 南省委农村工作领导小组研究批准，确定我省2024年防止返贫</w:t>
      </w:r>
    </w:p>
    <w:p>
      <w:pPr>
        <w:pStyle w:val="2"/>
        <w:spacing w:before="1" w:line="222" w:lineRule="auto"/>
        <w:ind w:left="389"/>
      </w:pPr>
      <w:r>
        <w:t>监测范围以家庭年人均纯收入8100元为参考。</w:t>
      </w:r>
    </w:p>
    <w:p>
      <w:pPr>
        <w:spacing w:before="210" w:line="221" w:lineRule="auto"/>
        <w:ind w:left="103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二、加强防止返贫监测帮扶政策宣传</w:t>
      </w:r>
    </w:p>
    <w:p>
      <w:pPr>
        <w:pStyle w:val="2"/>
        <w:spacing w:before="211" w:line="340" w:lineRule="auto"/>
        <w:ind w:left="389" w:right="445" w:firstLine="639"/>
        <w:jc w:val="both"/>
      </w:pPr>
      <w:r>
        <w:rPr>
          <w:spacing w:val="-6"/>
        </w:rPr>
        <w:t>按照“不少一村、不漏一户、不留死角”原则，结合常态化</w:t>
      </w:r>
      <w:r>
        <w:rPr>
          <w:spacing w:val="18"/>
        </w:rPr>
        <w:t xml:space="preserve"> </w:t>
      </w:r>
      <w:r>
        <w:rPr>
          <w:spacing w:val="-5"/>
        </w:rPr>
        <w:t>监测帮扶工作，动员驻村工作队、村干部、网格员等，深入农户</w:t>
      </w:r>
      <w:r>
        <w:rPr>
          <w:spacing w:val="3"/>
        </w:rPr>
        <w:t xml:space="preserve"> </w:t>
      </w:r>
      <w:r>
        <w:rPr>
          <w:spacing w:val="6"/>
        </w:rPr>
        <w:t>家中、田间地头、村部广场，现场讲解帮扶政策，发放“明白</w:t>
      </w:r>
    </w:p>
    <w:p>
      <w:pPr>
        <w:pStyle w:val="2"/>
        <w:spacing w:before="1" w:line="220" w:lineRule="auto"/>
        <w:ind w:left="389"/>
      </w:pPr>
      <w:r>
        <w:rPr>
          <w:spacing w:val="1"/>
        </w:rPr>
        <w:t>纸”,及时更换新的“防贫申报”二维码。充分发挥主流媒体和</w:t>
      </w:r>
    </w:p>
    <w:p>
      <w:pPr>
        <w:spacing w:line="220" w:lineRule="auto"/>
        <w:sectPr>
          <w:footerReference r:id="rId5" w:type="default"/>
          <w:pgSz w:w="11900" w:h="16820"/>
          <w:pgMar w:top="1429" w:right="1120" w:bottom="1259" w:left="1120" w:header="0" w:footer="1199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340pt;margin-top:667.9pt;height:18.3pt;width:113.6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pacing w:val="-22"/>
                      <w:sz w:val="27"/>
                      <w:szCs w:val="27"/>
                    </w:rPr>
                    <w:t>2</w:t>
                  </w:r>
                  <w:r>
                    <w:rPr>
                      <w:spacing w:val="-46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22"/>
                      <w:sz w:val="27"/>
                      <w:szCs w:val="27"/>
                    </w:rPr>
                    <w:t>0</w:t>
                  </w:r>
                  <w:r>
                    <w:rPr>
                      <w:spacing w:val="-44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22"/>
                      <w:sz w:val="27"/>
                      <w:szCs w:val="27"/>
                    </w:rPr>
                    <w:t>2</w:t>
                  </w:r>
                  <w:r>
                    <w:rPr>
                      <w:spacing w:val="-48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22"/>
                      <w:sz w:val="27"/>
                      <w:szCs w:val="27"/>
                    </w:rPr>
                    <w:t>4</w:t>
                  </w:r>
                  <w:r>
                    <w:rPr>
                      <w:spacing w:val="-34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22"/>
                      <w:sz w:val="27"/>
                      <w:szCs w:val="27"/>
                    </w:rPr>
                    <w:t>年</w:t>
                  </w:r>
                  <w:r>
                    <w:rPr>
                      <w:spacing w:val="-45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22"/>
                      <w:sz w:val="27"/>
                      <w:szCs w:val="27"/>
                    </w:rPr>
                    <w:t>6</w:t>
                  </w:r>
                  <w:r>
                    <w:rPr>
                      <w:spacing w:val="-27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22"/>
                      <w:sz w:val="27"/>
                      <w:szCs w:val="27"/>
                    </w:rPr>
                    <w:t>月</w:t>
                  </w:r>
                  <w:r>
                    <w:rPr>
                      <w:spacing w:val="-45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22"/>
                      <w:sz w:val="27"/>
                      <w:szCs w:val="27"/>
                    </w:rPr>
                    <w:t>6</w:t>
                  </w:r>
                  <w:r>
                    <w:rPr>
                      <w:spacing w:val="18"/>
                      <w:sz w:val="27"/>
                      <w:szCs w:val="27"/>
                    </w:rPr>
                    <w:t xml:space="preserve"> </w:t>
                  </w:r>
                  <w:r>
                    <w:rPr>
                      <w:spacing w:val="-22"/>
                      <w:sz w:val="27"/>
                      <w:szCs w:val="27"/>
                    </w:rPr>
                    <w:t>日</w:t>
                  </w:r>
                </w:p>
              </w:txbxContent>
            </v:textbox>
          </v:shape>
        </w:pict>
      </w: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1" w:line="602" w:lineRule="exact"/>
        <w:rPr>
          <w:sz w:val="31"/>
          <w:szCs w:val="31"/>
        </w:rPr>
      </w:pPr>
      <w:r>
        <w:rPr>
          <w:spacing w:val="2"/>
          <w:position w:val="21"/>
          <w:sz w:val="31"/>
          <w:szCs w:val="31"/>
        </w:rPr>
        <w:t>新媒体新平台优势，扩大政策宣传覆盖面，做好防止返贫监测帮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-2"/>
          <w:sz w:val="31"/>
          <w:szCs w:val="31"/>
        </w:rPr>
        <w:t>扶政策解读，持续提升政策知晓度。</w:t>
      </w:r>
    </w:p>
    <w:p>
      <w:pPr>
        <w:spacing w:before="192" w:line="221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三</w:t>
      </w:r>
      <w:r>
        <w:rPr>
          <w:rFonts w:ascii="黑体" w:hAnsi="黑体" w:eastAsia="黑体" w:cs="黑体"/>
          <w:spacing w:val="-3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、强化防止返贫常态化监测帮扶</w:t>
      </w:r>
    </w:p>
    <w:p>
      <w:pPr>
        <w:pStyle w:val="2"/>
        <w:spacing w:before="236" w:line="345" w:lineRule="auto"/>
        <w:ind w:firstLine="629"/>
        <w:jc w:val="both"/>
        <w:rPr>
          <w:sz w:val="31"/>
          <w:szCs w:val="31"/>
        </w:rPr>
      </w:pPr>
      <w:r>
        <w:rPr>
          <w:spacing w:val="2"/>
          <w:sz w:val="31"/>
          <w:szCs w:val="31"/>
        </w:rPr>
        <w:t>坚持农户自主申报、基层干部排查、部门大数据筛</w:t>
      </w:r>
      <w:r>
        <w:rPr>
          <w:spacing w:val="1"/>
          <w:sz w:val="31"/>
          <w:szCs w:val="31"/>
        </w:rPr>
        <w:t>查预警等</w:t>
      </w:r>
      <w:r>
        <w:rPr>
          <w:sz w:val="31"/>
          <w:szCs w:val="31"/>
        </w:rPr>
        <w:t xml:space="preserve">  </w:t>
      </w:r>
      <w:r>
        <w:rPr>
          <w:spacing w:val="3"/>
          <w:sz w:val="31"/>
          <w:szCs w:val="31"/>
        </w:rPr>
        <w:t>渠道互为补充、相互校验，持续做好防止返贫常</w:t>
      </w:r>
      <w:r>
        <w:rPr>
          <w:spacing w:val="2"/>
          <w:sz w:val="31"/>
          <w:szCs w:val="31"/>
        </w:rPr>
        <w:t xml:space="preserve">态化监测帮扶工 </w:t>
      </w:r>
      <w:r>
        <w:rPr>
          <w:spacing w:val="3"/>
          <w:sz w:val="31"/>
          <w:szCs w:val="31"/>
        </w:rPr>
        <w:t>作，确保监测不间断、帮扶不断档。强化部门协</w:t>
      </w:r>
      <w:r>
        <w:rPr>
          <w:spacing w:val="2"/>
          <w:sz w:val="31"/>
          <w:szCs w:val="31"/>
        </w:rPr>
        <w:t xml:space="preserve">同配合，努力打 </w:t>
      </w:r>
      <w:r>
        <w:rPr>
          <w:spacing w:val="14"/>
          <w:sz w:val="31"/>
          <w:szCs w:val="31"/>
        </w:rPr>
        <w:t>通数据共享壁垒，强化大数据筛查预警，完善风险线索交</w:t>
      </w:r>
      <w:r>
        <w:rPr>
          <w:spacing w:val="13"/>
          <w:sz w:val="31"/>
          <w:szCs w:val="31"/>
        </w:rPr>
        <w:t xml:space="preserve">办机 </w:t>
      </w:r>
      <w:r>
        <w:rPr>
          <w:spacing w:val="7"/>
          <w:sz w:val="31"/>
          <w:szCs w:val="31"/>
        </w:rPr>
        <w:t>制，定期分析研判，及时排查发现风险，落实针对性帮扶措施，</w:t>
      </w:r>
      <w:r>
        <w:rPr>
          <w:spacing w:val="1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进一步提高监测及时性和帮扶效能，切实做到早发现、早干预、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-13"/>
          <w:sz w:val="31"/>
          <w:szCs w:val="31"/>
        </w:rPr>
        <w:t>早帮扶。</w:t>
      </w:r>
    </w:p>
    <w:p>
      <w:pPr>
        <w:spacing w:before="245" w:line="222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四、加力加劲推动监测对象风险消除</w:t>
      </w:r>
    </w:p>
    <w:p>
      <w:pPr>
        <w:pStyle w:val="2"/>
        <w:spacing w:before="218" w:line="345" w:lineRule="auto"/>
        <w:ind w:right="130" w:firstLine="689"/>
        <w:jc w:val="both"/>
        <w:rPr>
          <w:sz w:val="31"/>
          <w:szCs w:val="31"/>
        </w:rPr>
      </w:pPr>
      <w:r>
        <w:rPr>
          <w:sz w:val="31"/>
          <w:szCs w:val="31"/>
        </w:rPr>
        <w:t>目前我省仍存在一些有劳动能力且识别时间较长的监测对象</w:t>
      </w:r>
      <w:r>
        <w:rPr>
          <w:spacing w:val="13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尚未稳定消除风险的情况，各地要全面摸底，建立工作台账，尤</w:t>
      </w:r>
      <w:r>
        <w:rPr>
          <w:spacing w:val="5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其针对两年未消除风险的，要逐户核实风险消除</w:t>
      </w:r>
      <w:r>
        <w:rPr>
          <w:spacing w:val="13"/>
          <w:sz w:val="31"/>
          <w:szCs w:val="31"/>
        </w:rPr>
        <w:t>情况、剖析原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因，进一步优化调整帮扶措施，增强帮扶成效</w:t>
      </w:r>
      <w:r>
        <w:rPr>
          <w:spacing w:val="1"/>
          <w:sz w:val="31"/>
          <w:szCs w:val="31"/>
        </w:rPr>
        <w:t>，加力加劲推动返</w:t>
      </w:r>
    </w:p>
    <w:p>
      <w:pPr>
        <w:pStyle w:val="2"/>
        <w:spacing w:before="1" w:line="219" w:lineRule="auto"/>
        <w:rPr>
          <w:rFonts w:ascii="Arial"/>
          <w:sz w:val="21"/>
        </w:rPr>
      </w:pPr>
      <w:r>
        <w:rPr>
          <w:spacing w:val="-5"/>
          <w:sz w:val="31"/>
          <w:szCs w:val="31"/>
        </w:rPr>
        <w:t>贫致贫风险稳定消除。</w:t>
      </w:r>
      <w:bookmarkStart w:id="0" w:name="_GoBack"/>
      <w:bookmarkEnd w:id="0"/>
    </w:p>
    <w:sectPr>
      <w:footerReference r:id="rId6" w:type="default"/>
      <w:pgSz w:w="11900" w:h="16820"/>
      <w:pgMar w:top="1429" w:right="1474" w:bottom="1797" w:left="1529" w:header="0" w:footer="14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" w:lineRule="exact"/>
      <w:rPr>
        <w:rFonts w:ascii="Arial"/>
        <w:sz w:val="4"/>
      </w:rPr>
    </w:pPr>
    <w:r>
      <w:pict>
        <v:rect id="_x0000_s2049" o:spid="_x0000_s2049" o:spt="1" style="position:absolute;left:0pt;margin-left:56pt;margin-top:778pt;height:3.05pt;width:480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3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w w:val="96"/>
        <w:sz w:val="31"/>
        <w:szCs w:val="31"/>
      </w:rPr>
      <w:t>—</w:t>
    </w:r>
    <w:r>
      <w:rPr>
        <w:rFonts w:ascii="宋体" w:hAnsi="宋体" w:eastAsia="宋体" w:cs="宋体"/>
        <w:spacing w:val="59"/>
        <w:sz w:val="31"/>
        <w:szCs w:val="31"/>
      </w:rPr>
      <w:t xml:space="preserve"> </w:t>
    </w:r>
    <w:r>
      <w:rPr>
        <w:rFonts w:ascii="宋体" w:hAnsi="宋体" w:eastAsia="宋体" w:cs="宋体"/>
        <w:spacing w:val="-20"/>
        <w:w w:val="96"/>
        <w:sz w:val="31"/>
        <w:szCs w:val="31"/>
      </w:rPr>
      <w:t>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I1MzFjZGQwNmJkZjY4YjMwNzM1ZmM1MWRjYzE5ZjcifQ=="/>
  </w:docVars>
  <w:rsids>
    <w:rsidRoot w:val="00000000"/>
    <w:rsid w:val="35165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781</Words>
  <Characters>803</Characters>
  <TotalTime>1</TotalTime>
  <ScaleCrop>false</ScaleCrop>
  <LinksUpToDate>false</LinksUpToDate>
  <CharactersWithSpaces>828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2024-07-03T10:06:00Z</dcterms:created>
  <dc:creator>Administrator</dc:creator>
  <cp:lastModifiedBy>当家。寻乡</cp:lastModifiedBy>
  <dcterms:modified xsi:type="dcterms:W3CDTF">2024-07-03T02:07:33Z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2024-07-03T10:06:05Z</vt:filetime>
  </property>
  <property fmtid="{D5CDD505-2E9C-101B-9397-08002B2CF9AE}" pid="4" name="UsrData">
    <vt:lpwstr>6684b2087699d3001fe0aac4wl</vt:lpwstr>
  </property>
  <property fmtid="{D5CDD505-2E9C-101B-9397-08002B2CF9AE}" pid="5" name="KSOProductBuildVer">
    <vt:lpwstr>2052-12.1.0.16929</vt:lpwstr>
  </property>
  <property fmtid="{D5CDD505-2E9C-101B-9397-08002B2CF9AE}" pid="6" name="ICV">
    <vt:lpwstr>7990C49115DA494DBB7E068122C4844F_12</vt:lpwstr>
  </property>
</Properties>
</file>