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刑满释放人员恢复户口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20日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户籍属于我省的刑满释放人员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20" w:lineRule="atLeast"/>
        <w:ind w:right="0"/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firstLine="480" w:firstLineChars="200"/>
      </w:pPr>
      <w:r>
        <w:t>户政窗口受理，核准后报县级公安机关治安（户政）部门审批，户政窗口办结。  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1、原有《户口薄》、《居民身份证》；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2、《释放证明》。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697F2E91"/>
    <w:rsid w:val="697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2023-11-21T08:10:00Z</dcterms:created>
  <dc:creator>86495</dc:creator>
  <cp:lastModifiedBy>86495</cp:lastModifiedBy>
  <dcterms:modified xsi:type="dcterms:W3CDTF">2023-11-21T08:10:22Z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73295E47422546DABE71326A6ADB2F43_11</vt:lpwstr>
  </property>
</Properties>
</file>