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 xml:space="preserve"> 许昌市建安区小召乡人民政府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关于2022年</w:t>
      </w:r>
      <w:r>
        <w:rPr>
          <w:rFonts w:hint="eastAsia" w:ascii="方正小标宋简体" w:hAnsi="黑体" w:eastAsia="方正小标宋简体"/>
          <w:sz w:val="44"/>
          <w:szCs w:val="44"/>
        </w:rPr>
        <w:t>政府信息公开工作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的年度</w:t>
      </w:r>
      <w:r>
        <w:rPr>
          <w:rFonts w:hint="eastAsia" w:ascii="方正小标宋简体" w:hAnsi="黑体" w:eastAsia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</w:pPr>
      <w:r>
        <w:rPr>
          <w:rFonts w:hint="eastAsia"/>
        </w:rPr>
        <w:t>本报告依据《中华人民共和国政府信息公开条例》（国务院令第</w:t>
      </w:r>
      <w:r>
        <w:t>711</w:t>
      </w:r>
      <w:r>
        <w:rPr>
          <w:rFonts w:hint="eastAsia"/>
        </w:rPr>
        <w:t>号）有关规定，结合</w:t>
      </w:r>
      <w:r>
        <w:rPr>
          <w:rFonts w:hint="eastAsia"/>
          <w:lang w:val="en-US" w:eastAsia="zh-CN"/>
        </w:rPr>
        <w:t>小召乡</w:t>
      </w:r>
      <w:r>
        <w:rPr>
          <w:rFonts w:hint="eastAsia"/>
        </w:rPr>
        <w:t>政府信息公开情况编制而成，报告由总体情况、主动公开政府信息情况、收到和处理政府信息公开申请情况、政府信息公开行政复议、行政诉讼情况、存在的主要问题及改进情况、其他需要报告的事项组成。报告中所列数据的统计期限为</w:t>
      </w:r>
      <w: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日至</w:t>
      </w:r>
      <w:r>
        <w:t>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日，若有疑问或建议，请联系</w:t>
      </w:r>
      <w:r>
        <w:rPr>
          <w:rFonts w:hint="eastAsia"/>
          <w:lang w:val="en-US" w:eastAsia="zh-CN"/>
        </w:rPr>
        <w:t>许昌市建安区小召乡党政办公室</w:t>
      </w:r>
      <w:r>
        <w:rPr>
          <w:rFonts w:hint="eastAsia"/>
        </w:rPr>
        <w:t>（地址</w:t>
      </w:r>
      <w:r>
        <w:rPr>
          <w:rFonts w:hint="eastAsia"/>
          <w:lang w:eastAsia="zh-CN"/>
        </w:rPr>
        <w:t>：许昌市建安区小召乡北寨村，</w:t>
      </w:r>
      <w:r>
        <w:rPr>
          <w:rFonts w:hint="eastAsia"/>
          <w:lang w:val="en-US" w:eastAsia="zh-CN"/>
        </w:rPr>
        <w:t>邮编：461100，</w:t>
      </w:r>
      <w:r>
        <w:rPr>
          <w:rFonts w:hint="eastAsia"/>
        </w:rPr>
        <w:t>电话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0374-5681009，</w:t>
      </w:r>
      <w:r>
        <w:rPr>
          <w:rFonts w:hint="eastAsia"/>
        </w:rPr>
        <w:t>电子邮箱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xcxxiaozhao@126.com</w:t>
      </w:r>
      <w:r>
        <w:rPr>
          <w:rFonts w:hint="eastAsia"/>
        </w:rPr>
        <w:t>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textAlignment w:val="auto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eastAsia="黑体"/>
        </w:rPr>
        <w:t>总体情况</w:t>
      </w:r>
    </w:p>
    <w:p>
      <w:pPr>
        <w:ind w:firstLine="6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b/>
          <w:bCs/>
        </w:rPr>
        <w:t>（一）主动公开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建安区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正确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指导下，我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高度重视并积极推进政府信息公开工作，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认真贯彻落实好上级相关文件要求，确保政府信息全面、及时、准确公开，确保政府信息全面、及时、准确公开，提高工作的透明度和公信力，为经济社会活动和人民群众生产、生活提供服务，取得了较好成效。根据规定，现将我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年度政府信息公开工作报告如下：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leftChars="0" w:right="0" w:rightChars="0" w:firstLine="680" w:firstLineChars="20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（一）强化思想认识，加强组织保障。把政府信息公开作为推进依法行政、建设法制政府的一项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重要工作，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大力开展政务公开标准化、规范化建设，认真收集，及时公开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充实和调整政务公开工作领导小组，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/>
        </w:rPr>
        <w:t>成立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长任组长，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乡人大主席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任常务副组长，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级各站所主要负责人和各村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支部书记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为成员的政务公开工作领导小组，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具体日常工作由党政办主要负责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对主动公开的相关政府信息认真收集整理，经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/>
        </w:rPr>
        <w:t>审核后在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网上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党政班子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定期进行政务公开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听取全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情况汇报，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针对工作情况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现有各种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问题，研究具体改进措施，202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年，我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召开政务公开专题会议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次，开展政务公开工作培训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期，对政务公开工作的领导得到进一步加强。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（二）加强监督检查，形成工作合力。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定期听取汇报和不定期开展督查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方式，充分发挥政务公开工作领导小组的职能职责，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坚持问题导向，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对各村各站所的政务公开制度建设情况、公开平台建设情况等进行监督检查，政务公开工作领导小组及时指出政务公开过程中存在的问题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并且督促及时整改。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（三）规范公开内容，提高公开质量。</w:t>
      </w:r>
      <w:r>
        <w:rPr>
          <w:rFonts w:hint="default" w:ascii="Times New Roman" w:hAnsi="Times New Roman" w:eastAsia="仿宋_GB2312" w:cs="Times New Roman"/>
          <w:color w:val="auto"/>
        </w:rPr>
        <w:t>按照信息公开“三审”制，完善信息发布管理制度，确保信息公开安全准确。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年度，我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公开政府文件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共计12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领域共计88条信息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其中，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发布政策解读1篇，公开发布工作动态信息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条。办理“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书记、区长信箱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网民诉求8件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接到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“12345”政府服务热线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，办结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64件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办结率100%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真正的做到主动、及时、全面、真实地公开内容，公开深度到位，公开程序规范。</w:t>
      </w:r>
    </w:p>
    <w:p>
      <w:pPr>
        <w:ind w:firstLine="680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（二）依申请公开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</w:rPr>
        <w:t>年，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color w:val="auto"/>
        </w:rPr>
        <w:t>政府信息公开行政复议情况。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</w:rPr>
        <w:t>年，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color w:val="auto"/>
        </w:rPr>
        <w:t>政府信息公开行政诉讼情况。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年，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政府信息公开投诉举报情况。</w:t>
      </w:r>
    </w:p>
    <w:p>
      <w:pPr>
        <w:pStyle w:val="2"/>
        <w:ind w:firstLine="680" w:firstLineChars="200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采用固定形式公开政务信息内容。我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主动公开贯彻落实各村五星支部创建工作、贫困户补助及学生雨露计划内容等方面的政府信息，</w:t>
      </w:r>
      <w:r>
        <w:rPr>
          <w:rFonts w:hint="eastAsia" w:cs="Times New Roman"/>
          <w:color w:val="auto"/>
          <w:kern w:val="2"/>
          <w:sz w:val="32"/>
          <w:szCs w:val="32"/>
          <w:lang w:val="en-US" w:eastAsia="zh-CN"/>
        </w:rPr>
        <w:t>我乡</w:t>
      </w:r>
      <w:r>
        <w:rPr>
          <w:rFonts w:hint="default" w:ascii="Times New Roman" w:hAnsi="Times New Roman" w:cs="Times New Roman"/>
          <w:color w:val="auto"/>
          <w:kern w:val="2"/>
          <w:sz w:val="32"/>
          <w:szCs w:val="32"/>
          <w:lang w:val="en-US" w:eastAsia="zh-CN"/>
        </w:rPr>
        <w:t>专门设立公开栏，保障群众的知情权，进一步加强我镇政务公开信息的规范建设。</w:t>
      </w:r>
    </w:p>
    <w:p>
      <w:pPr>
        <w:ind w:firstLine="680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（三）政府信息管理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0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lang w:val="en-US" w:eastAsia="zh-CN"/>
        </w:rPr>
        <w:t>一是</w:t>
      </w:r>
      <w:r>
        <w:rPr>
          <w:rFonts w:hint="eastAsia"/>
        </w:rPr>
        <w:t>规范性文件废改立</w:t>
      </w:r>
      <w:r>
        <w:rPr>
          <w:rFonts w:hint="eastAsia"/>
          <w:lang w:eastAsia="zh-CN"/>
        </w:rPr>
        <w:t>，做到高标准、严要求；</w:t>
      </w:r>
      <w:r>
        <w:rPr>
          <w:rFonts w:hint="eastAsia"/>
          <w:b/>
          <w:bCs/>
          <w:lang w:val="en-US" w:eastAsia="zh-CN"/>
        </w:rPr>
        <w:t>二是</w:t>
      </w:r>
      <w:r>
        <w:rPr>
          <w:rFonts w:hint="eastAsia"/>
          <w:lang w:val="en-US" w:eastAsia="zh-CN"/>
        </w:rPr>
        <w:t>完善审查程序</w:t>
      </w:r>
      <w:r>
        <w:rPr>
          <w:rFonts w:hint="eastAsia"/>
        </w:rPr>
        <w:t>，坚持由分管领导审核签字后再及时进行网上公开</w:t>
      </w:r>
      <w:r>
        <w:rPr>
          <w:rFonts w:hint="eastAsia"/>
          <w:lang w:eastAsia="zh-CN"/>
        </w:rPr>
        <w:t>，</w:t>
      </w:r>
      <w:r>
        <w:rPr>
          <w:rFonts w:hint="eastAsia" w:ascii="Times New Roman" w:hAnsi="Times New Roman" w:cs="Times New Roman"/>
          <w:lang w:eastAsia="zh-CN"/>
        </w:rPr>
        <w:t>严格履行程序。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三是</w:t>
      </w:r>
      <w:r>
        <w:rPr>
          <w:rFonts w:hint="eastAsia" w:ascii="Times New Roman" w:hAnsi="Times New Roman" w:cs="Times New Roman"/>
          <w:lang w:val="en-US" w:eastAsia="zh-CN"/>
        </w:rPr>
        <w:t>确保</w:t>
      </w:r>
      <w:r>
        <w:rPr>
          <w:rFonts w:hint="eastAsia" w:cs="Times New Roman"/>
          <w:lang w:val="en-US" w:eastAsia="zh-CN"/>
        </w:rPr>
        <w:t>不泄露</w:t>
      </w:r>
      <w:r>
        <w:rPr>
          <w:rFonts w:hint="eastAsia" w:ascii="Times New Roman" w:hAnsi="Times New Roman" w:cs="Times New Roman"/>
          <w:lang w:val="en-US" w:eastAsia="zh-CN"/>
        </w:rPr>
        <w:t>个人隐私信息</w:t>
      </w:r>
      <w:r>
        <w:rPr>
          <w:rFonts w:hint="eastAsia" w:cs="Times New Roman"/>
          <w:lang w:val="en-US" w:eastAsia="zh-CN"/>
        </w:rPr>
        <w:t>，保护群众隐私</w:t>
      </w:r>
      <w:r>
        <w:rPr>
          <w:rFonts w:hint="eastAsia" w:ascii="Times New Roman" w:hAnsi="Times New Roman" w:cs="Times New Roman"/>
          <w:lang w:val="en-US" w:eastAsia="zh-CN"/>
        </w:rPr>
        <w:t>。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规范政务公开和政务信息公开档案资料的归档和管理。</w:t>
      </w:r>
    </w:p>
    <w:p>
      <w:pPr>
        <w:ind w:firstLine="680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（四）政府信息公开平台建设</w:t>
      </w:r>
    </w:p>
    <w:p>
      <w:pPr>
        <w:ind w:firstLine="68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以建安区人民政府官网为依托设立小召乡专栏，自主完善并发布安全生产、救灾等12个领域共计88条信息，以方便群众及时知悉具体办事流程，向群众提供更便捷的服务。</w:t>
      </w:r>
    </w:p>
    <w:p>
      <w:pPr>
        <w:ind w:firstLine="680" w:firstLineChars="200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（五）监督保障</w:t>
      </w:r>
    </w:p>
    <w:p>
      <w:pPr>
        <w:ind w:firstLine="680" w:firstLineChars="200"/>
        <w:rPr>
          <w:rFonts w:hint="eastAsia" w:ascii="Times New Roman" w:hAnsi="Times New Roman" w:cs="Times New Roman"/>
          <w:lang w:eastAsia="zh-CN"/>
        </w:rPr>
      </w:pPr>
      <w:r>
        <w:rPr>
          <w:rFonts w:hint="eastAsia" w:ascii="Times New Roman" w:hAnsi="Times New Roman" w:cs="Times New Roman"/>
        </w:rPr>
        <w:t>1. 公开制度情况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全年公开制度</w:t>
      </w:r>
      <w:r>
        <w:rPr>
          <w:rFonts w:hint="default" w:ascii="Times New Roman" w:hAnsi="Times New Roman" w:cs="Times New Roman"/>
          <w:lang w:val="en-US" w:eastAsia="zh-CN"/>
        </w:rPr>
        <w:t>0</w:t>
      </w:r>
      <w:r>
        <w:rPr>
          <w:rFonts w:hint="eastAsia" w:ascii="Times New Roman" w:hAnsi="Times New Roman" w:cs="Times New Roman"/>
          <w:lang w:val="en-US" w:eastAsia="zh-CN"/>
        </w:rPr>
        <w:t>条；</w:t>
      </w:r>
    </w:p>
    <w:p>
      <w:pPr>
        <w:ind w:firstLine="680" w:firstLineChars="200"/>
      </w:pPr>
      <w:r>
        <w:rPr>
          <w:rFonts w:hint="eastAsia"/>
        </w:rPr>
        <w:t>2. 工作推进情况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全年报送年度工作总结1份、区重点项目建设情况每季度2份共计8份</w:t>
      </w:r>
      <w:r>
        <w:rPr>
          <w:rFonts w:hint="eastAsia"/>
        </w:rPr>
        <w:t>；</w:t>
      </w:r>
    </w:p>
    <w:p>
      <w:pPr>
        <w:ind w:firstLine="680" w:firstLineChars="200"/>
      </w:pPr>
      <w:r>
        <w:rPr>
          <w:rFonts w:hint="eastAsia"/>
        </w:rPr>
        <w:t xml:space="preserve">3. </w:t>
      </w:r>
      <w:r>
        <w:t>学习培训情况</w:t>
      </w:r>
      <w:r>
        <w:rPr>
          <w:rFonts w:hint="eastAsia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全年报送学习培训累计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次</w:t>
      </w:r>
      <w:r>
        <w:t>；</w:t>
      </w:r>
    </w:p>
    <w:p>
      <w:pPr>
        <w:ind w:firstLine="680" w:firstLineChars="200"/>
        <w:rPr>
          <w:rFonts w:hint="eastAsia" w:ascii="黑体" w:hAnsi="黑体" w:eastAsia="黑体"/>
        </w:rPr>
      </w:pPr>
      <w:r>
        <w:rPr>
          <w:rFonts w:hint="eastAsia"/>
        </w:rPr>
        <w:t>4. 工作考核、评议整改和责任追究结果情况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全年报送工作考核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次，评议整改问题回复1次，责任追究结果：无</w:t>
      </w:r>
      <w:r>
        <w:t>。</w:t>
      </w:r>
    </w:p>
    <w:p>
      <w:pPr>
        <w:ind w:firstLine="680" w:firstLineChars="200"/>
        <w:rPr>
          <w:rFonts w:hint="eastAsia" w:ascii="黑体" w:eastAsia="黑体"/>
        </w:rPr>
      </w:pPr>
    </w:p>
    <w:p>
      <w:pPr>
        <w:ind w:firstLine="680" w:firstLineChars="200"/>
        <w:rPr>
          <w:rFonts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tbl>
      <w:tblPr>
        <w:tblStyle w:val="6"/>
        <w:tblW w:w="9248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229"/>
        <w:gridCol w:w="214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第二十条第（一）项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本年制发件数</w:t>
            </w:r>
          </w:p>
        </w:tc>
        <w:tc>
          <w:tcPr>
            <w:tcW w:w="22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本年废止件数</w:t>
            </w:r>
          </w:p>
        </w:tc>
        <w:tc>
          <w:tcPr>
            <w:tcW w:w="21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现行有效件数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4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信息内容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行政许可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4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第二十条第（六）项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信息内容</w:t>
            </w:r>
          </w:p>
        </w:tc>
        <w:tc>
          <w:tcPr>
            <w:tcW w:w="681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本年处理决定数量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行政处罚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行政强制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4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信息内容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本年收费金额（单位：万元）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行政事业性收费</w:t>
            </w:r>
          </w:p>
        </w:tc>
        <w:tc>
          <w:tcPr>
            <w:tcW w:w="68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ind w:firstLine="680" w:firstLineChars="200"/>
        <w:rPr>
          <w:rFonts w:hint="eastAsia" w:ascii="黑体" w:hAnsi="黑体" w:eastAsia="黑体"/>
          <w:szCs w:val="32"/>
        </w:rPr>
      </w:pPr>
    </w:p>
    <w:p>
      <w:pPr>
        <w:ind w:firstLine="680" w:firstLineChars="200"/>
        <w:rPr>
          <w:rFonts w:hint="eastAsia" w:ascii="黑体" w:hAnsi="黑体" w:eastAsia="黑体"/>
          <w:szCs w:val="32"/>
        </w:rPr>
      </w:pPr>
    </w:p>
    <w:p>
      <w:pPr>
        <w:ind w:firstLine="68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三、收到和处理政府信息公开申请情况</w:t>
      </w:r>
    </w:p>
    <w:tbl>
      <w:tblPr>
        <w:tblStyle w:val="6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062"/>
        <w:gridCol w:w="2991"/>
        <w:gridCol w:w="1067"/>
        <w:gridCol w:w="683"/>
        <w:gridCol w:w="684"/>
        <w:gridCol w:w="684"/>
        <w:gridCol w:w="684"/>
        <w:gridCol w:w="684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5170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自然人</w:t>
            </w:r>
          </w:p>
        </w:tc>
        <w:tc>
          <w:tcPr>
            <w:tcW w:w="3419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法人或其他组织</w:t>
            </w:r>
          </w:p>
        </w:tc>
        <w:tc>
          <w:tcPr>
            <w:tcW w:w="68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487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商业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社会公益组织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法律服务机构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68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487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87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三、本年度办理结果</w:t>
            </w:r>
          </w:p>
        </w:tc>
        <w:tc>
          <w:tcPr>
            <w:tcW w:w="405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（一）予以公开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5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default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（三）不予公开</w:t>
            </w: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1.属于国家秘密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2.其他法律行政法规禁止公开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3.危及“三安全一稳定”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4.保护第三方合法权益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5.属于三类内部事务信息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6.属于四类过程性信息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7.属于行政执法案卷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8.属于行政查询事项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（四）无法提供</w:t>
            </w: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1.本机关不掌握相关政府信息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2.没有现成信息需要另行制作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3.补正后申请内容仍不明确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8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（五）不予处理</w:t>
            </w: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1.信访举报投诉类申请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2.重复申请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3.要求提供公开出版物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4.无正当理由大量反复申请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（六）其他处理</w:t>
            </w: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3.其他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82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5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（七）总计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487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四、结转下年度继续办理</w:t>
            </w:r>
          </w:p>
        </w:tc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ind w:firstLine="68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尚未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尚未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结果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尚未</w:t>
            </w:r>
            <w:r>
              <w:rPr>
                <w:rFonts w:hint="eastAsia" w:ascii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 w:firstLineChars="200"/>
        <w:textAlignment w:val="auto"/>
        <w:rPr>
          <w:rFonts w:ascii="黑体" w:eastAsia="黑体"/>
        </w:rPr>
      </w:pPr>
      <w:r>
        <w:rPr>
          <w:rFonts w:hint="eastAsia" w:ascii="黑体" w:eastAsia="黑体"/>
          <w:lang w:val="en-US" w:eastAsia="zh-CN"/>
        </w:rPr>
        <w:t>五</w:t>
      </w:r>
      <w:r>
        <w:rPr>
          <w:rFonts w:hint="eastAsia" w:ascii="黑体" w:eastAsia="黑体"/>
        </w:rPr>
        <w:t>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年，我</w:t>
      </w:r>
      <w:r>
        <w:rPr>
          <w:rFonts w:hint="eastAsia" w:ascii="仿宋_GB2312" w:hAnsi="仿宋_GB2312" w:eastAsia="仿宋_GB2312" w:cs="仿宋_GB2312"/>
          <w:lang w:eastAsia="zh-CN"/>
        </w:rPr>
        <w:t>乡</w:t>
      </w:r>
      <w:r>
        <w:rPr>
          <w:rFonts w:hint="eastAsia" w:ascii="仿宋_GB2312" w:hAnsi="仿宋_GB2312" w:eastAsia="仿宋_GB2312" w:cs="仿宋_GB2312"/>
        </w:rPr>
        <w:t>政府信息公开工作在</w:t>
      </w:r>
      <w:r>
        <w:rPr>
          <w:rFonts w:hint="eastAsia" w:ascii="仿宋_GB2312" w:hAnsi="仿宋_GB2312" w:eastAsia="仿宋_GB2312" w:cs="仿宋_GB231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</w:rPr>
        <w:t>政府办的精心指导下</w:t>
      </w:r>
      <w:r>
        <w:rPr>
          <w:rFonts w:hint="eastAsia" w:ascii="仿宋_GB2312" w:hAnsi="仿宋_GB2312" w:cs="仿宋_GB2312"/>
          <w:lang w:val="en-US" w:eastAsia="zh-CN"/>
        </w:rPr>
        <w:t>取得了新突破、新进展，</w:t>
      </w:r>
      <w:r>
        <w:rPr>
          <w:rFonts w:hint="eastAsia" w:ascii="仿宋_GB2312" w:hAnsi="仿宋_GB2312" w:eastAsia="仿宋_GB2312" w:cs="仿宋_GB2312"/>
        </w:rPr>
        <w:t>但</w:t>
      </w:r>
      <w:r>
        <w:rPr>
          <w:rFonts w:hint="eastAsia" w:ascii="仿宋_GB2312" w:hAnsi="仿宋_GB2312" w:cs="仿宋_GB2312"/>
          <w:lang w:val="en-US" w:eastAsia="zh-CN"/>
        </w:rPr>
        <w:t>在工作中</w:t>
      </w:r>
      <w:r>
        <w:rPr>
          <w:rFonts w:hint="eastAsia" w:ascii="仿宋_GB2312" w:hAnsi="仿宋_GB2312" w:eastAsia="仿宋_GB2312" w:cs="仿宋_GB2312"/>
        </w:rPr>
        <w:t>还存在一些问题：一是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工作信息公开的需求还存在一定差距</w:t>
      </w:r>
      <w:r>
        <w:rPr>
          <w:rFonts w:hint="eastAsia" w:ascii="仿宋_GB2312" w:hAnsi="仿宋_GB2312" w:eastAsia="仿宋_GB2312" w:cs="仿宋_GB2312"/>
        </w:rPr>
        <w:t>；二是负责政务公开的工作人员</w:t>
      </w:r>
      <w:r>
        <w:rPr>
          <w:rFonts w:hint="eastAsia" w:ascii="仿宋_GB2312" w:hAnsi="仿宋_GB2312" w:cs="仿宋_GB2312"/>
          <w:lang w:val="en-US" w:eastAsia="zh-CN"/>
        </w:rPr>
        <w:t>业务水平、业务能力有待提高</w:t>
      </w:r>
      <w:r>
        <w:rPr>
          <w:rFonts w:hint="eastAsia" w:ascii="仿宋_GB2312" w:hAnsi="仿宋_GB2312" w:eastAsia="仿宋_GB2312" w:cs="仿宋_GB2312"/>
        </w:rPr>
        <w:t>；三是</w:t>
      </w:r>
      <w:r>
        <w:rPr>
          <w:rFonts w:hint="eastAsia" w:ascii="仿宋_GB2312" w:hAnsi="仿宋_GB2312" w:cs="仿宋_GB2312"/>
          <w:lang w:val="en-US" w:eastAsia="zh-CN"/>
        </w:rPr>
        <w:t>信息资源利用率不足、公开内容不够全面。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针对存在问题，在下步工作中，我</w:t>
      </w:r>
      <w:r>
        <w:rPr>
          <w:rFonts w:hint="eastAsia" w:ascii="仿宋_GB2312" w:hAnsi="仿宋_GB2312" w:eastAsia="仿宋_GB2312" w:cs="仿宋_GB2312"/>
          <w:lang w:eastAsia="zh-CN"/>
        </w:rPr>
        <w:t>乡</w:t>
      </w:r>
      <w:r>
        <w:rPr>
          <w:rFonts w:hint="eastAsia" w:ascii="仿宋_GB2312" w:hAnsi="仿宋_GB2312" w:eastAsia="仿宋_GB2312" w:cs="仿宋_GB2312"/>
        </w:rPr>
        <w:t>将从以下几方面进行改进：一是加强领导，落实责任。认真贯彻落实《中华人民共和国政府信息公开条例》及省</w:t>
      </w:r>
      <w:r>
        <w:rPr>
          <w:rFonts w:hint="eastAsia" w:ascii="仿宋_GB2312" w:hAnsi="仿宋_GB2312" w:cs="仿宋_GB231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lang w:eastAsia="zh-CN"/>
        </w:rPr>
        <w:t>区</w:t>
      </w:r>
      <w:r>
        <w:rPr>
          <w:rFonts w:hint="eastAsia" w:ascii="仿宋_GB2312" w:hAnsi="仿宋_GB2312" w:eastAsia="仿宋_GB2312" w:cs="仿宋_GB2312"/>
        </w:rPr>
        <w:t>关于政府信息与政务公开工作的有关决策部署和要求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进一步加强组织领导，压实责任，形成研究部署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督促落实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</w:rPr>
        <w:t>日常工作</w:t>
      </w:r>
      <w:r>
        <w:rPr>
          <w:rFonts w:hint="eastAsia" w:ascii="仿宋_GB2312" w:hAnsi="仿宋_GB2312" w:cs="仿宋_GB2312"/>
          <w:lang w:val="en-US" w:eastAsia="zh-CN"/>
        </w:rPr>
        <w:t>三位一体</w:t>
      </w:r>
      <w:r>
        <w:rPr>
          <w:rFonts w:hint="eastAsia" w:ascii="仿宋_GB2312" w:hAnsi="仿宋_GB2312" w:eastAsia="仿宋_GB2312" w:cs="仿宋_GB2312"/>
        </w:rPr>
        <w:t>的格局，切实</w:t>
      </w:r>
      <w:r>
        <w:rPr>
          <w:rFonts w:hint="eastAsia" w:ascii="仿宋_GB2312" w:hAnsi="仿宋_GB2312" w:cs="仿宋_GB231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</w:rPr>
        <w:t>好各项工作任务。二是坚持问题导向，抓好问题整改。针对</w:t>
      </w:r>
      <w:r>
        <w:rPr>
          <w:rFonts w:hint="eastAsia" w:ascii="仿宋_GB2312" w:hAnsi="仿宋_GB2312" w:cs="仿宋_GB2312"/>
          <w:lang w:val="en-US" w:eastAsia="zh-CN"/>
        </w:rPr>
        <w:t>具体问题进行具体分析</w:t>
      </w:r>
      <w:r>
        <w:rPr>
          <w:rFonts w:hint="eastAsia" w:ascii="仿宋_GB2312" w:hAnsi="仿宋_GB2312" w:eastAsia="仿宋_GB2312" w:cs="仿宋_GB2312"/>
        </w:rPr>
        <w:t>，找准结症，结合印发的工作制度，制定</w:t>
      </w:r>
      <w:r>
        <w:rPr>
          <w:rFonts w:hint="eastAsia" w:ascii="仿宋_GB2312" w:hAnsi="仿宋_GB2312" w:cs="仿宋_GB2312"/>
          <w:lang w:val="en-US" w:eastAsia="zh-CN"/>
        </w:rPr>
        <w:t>适合我乡特点</w:t>
      </w:r>
      <w:r>
        <w:rPr>
          <w:rFonts w:hint="eastAsia" w:ascii="仿宋_GB2312" w:hAnsi="仿宋_GB2312" w:eastAsia="仿宋_GB2312" w:cs="仿宋_GB2312"/>
        </w:rPr>
        <w:t>的措施，</w:t>
      </w:r>
      <w:r>
        <w:rPr>
          <w:rFonts w:hint="eastAsia" w:ascii="仿宋_GB2312" w:hAnsi="仿宋_GB2312" w:cs="仿宋_GB231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</w:rPr>
        <w:t>定人定责，明确时限</w:t>
      </w:r>
      <w:r>
        <w:rPr>
          <w:rFonts w:hint="eastAsia" w:ascii="仿宋_GB2312" w:hAnsi="仿宋_GB2312" w:cs="仿宋_GB2312"/>
          <w:lang w:val="en-US" w:eastAsia="zh-CN"/>
        </w:rPr>
        <w:t>来</w:t>
      </w:r>
      <w:r>
        <w:rPr>
          <w:rFonts w:hint="eastAsia" w:ascii="仿宋_GB2312" w:hAnsi="仿宋_GB2312" w:eastAsia="仿宋_GB2312" w:cs="仿宋_GB2312"/>
        </w:rPr>
        <w:t>加强监督检查，严格责任追究，确保工作落到实处，切实提高政务公开工作的质量和水平。三是强化制度执行，全面提升</w:t>
      </w:r>
      <w:r>
        <w:rPr>
          <w:rFonts w:hint="eastAsia" w:ascii="仿宋_GB2312" w:hAnsi="仿宋_GB2312" w:cs="仿宋_GB231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</w:rPr>
        <w:t>水平</w:t>
      </w:r>
      <w:r>
        <w:rPr>
          <w:rFonts w:hint="eastAsia" w:ascii="仿宋_GB2312" w:hAnsi="仿宋_GB2312" w:cs="仿宋_GB2312"/>
          <w:lang w:eastAsia="zh-CN"/>
        </w:rPr>
        <w:t>，</w:t>
      </w:r>
      <w:r>
        <w:rPr>
          <w:rFonts w:hint="eastAsia" w:ascii="仿宋_GB2312" w:hAnsi="仿宋_GB2312" w:cs="仿宋_GB2312"/>
          <w:lang w:val="en-US" w:eastAsia="zh-CN"/>
        </w:rPr>
        <w:t>贯彻落实现有制度</w:t>
      </w:r>
      <w:r>
        <w:rPr>
          <w:rFonts w:hint="eastAsia" w:ascii="仿宋_GB2312" w:hAnsi="仿宋_GB2312" w:eastAsia="仿宋_GB2312" w:cs="仿宋_GB2312"/>
        </w:rPr>
        <w:t>。坚持总体要求，加强指导监督，强化工作过程的管理和检查，督促各职能站所及时提供各类主动公开信息，切实抓好群众关注度高、涉及群众切身利益的各类政府信息的公开，提升公开的全面性。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六</w:t>
      </w:r>
      <w:r>
        <w:rPr>
          <w:rFonts w:hint="eastAsia" w:ascii="黑体" w:hAnsi="黑体" w:eastAsia="黑体" w:cs="黑体"/>
        </w:rPr>
        <w:t>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0"/>
        <w:textAlignment w:val="auto"/>
        <w:rPr>
          <w:rFonts w:hint="default" w:ascii="仿宋_GB2312" w:hAnsi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6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小召乡人民政府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6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2023年1月6日</w:t>
      </w:r>
    </w:p>
    <w:sectPr>
      <w:footerReference r:id="rId3" w:type="default"/>
      <w:pgSz w:w="11906" w:h="16838"/>
      <w:pgMar w:top="2098" w:right="1531" w:bottom="1984" w:left="1531" w:header="1757" w:footer="175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31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595E30"/>
    <w:multiLevelType w:val="singleLevel"/>
    <w:tmpl w:val="F0595E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7B68285E"/>
    <w:rsid w:val="00556DD7"/>
    <w:rsid w:val="02693466"/>
    <w:rsid w:val="04C258B7"/>
    <w:rsid w:val="079D4785"/>
    <w:rsid w:val="086D4FFA"/>
    <w:rsid w:val="09881056"/>
    <w:rsid w:val="0ADF474F"/>
    <w:rsid w:val="0E393857"/>
    <w:rsid w:val="0E4768CC"/>
    <w:rsid w:val="0EAE0E4B"/>
    <w:rsid w:val="0F057CFA"/>
    <w:rsid w:val="0F11132D"/>
    <w:rsid w:val="121B4B41"/>
    <w:rsid w:val="13704EFF"/>
    <w:rsid w:val="14A357DE"/>
    <w:rsid w:val="1649432E"/>
    <w:rsid w:val="166E3DEE"/>
    <w:rsid w:val="1786571D"/>
    <w:rsid w:val="19565CB3"/>
    <w:rsid w:val="1AC17C55"/>
    <w:rsid w:val="1BFE42D8"/>
    <w:rsid w:val="1D856BA9"/>
    <w:rsid w:val="1EEC617E"/>
    <w:rsid w:val="1FE91D97"/>
    <w:rsid w:val="211E58D7"/>
    <w:rsid w:val="22A6781A"/>
    <w:rsid w:val="24591235"/>
    <w:rsid w:val="247A57E3"/>
    <w:rsid w:val="25954BA5"/>
    <w:rsid w:val="25CF26F1"/>
    <w:rsid w:val="25E371D4"/>
    <w:rsid w:val="26A71D48"/>
    <w:rsid w:val="292E7806"/>
    <w:rsid w:val="29AF09C6"/>
    <w:rsid w:val="29D12639"/>
    <w:rsid w:val="29D76564"/>
    <w:rsid w:val="2A4E66C7"/>
    <w:rsid w:val="2B911DBE"/>
    <w:rsid w:val="2D0F4D53"/>
    <w:rsid w:val="2D265D01"/>
    <w:rsid w:val="2E617201"/>
    <w:rsid w:val="30A73F5A"/>
    <w:rsid w:val="325E0366"/>
    <w:rsid w:val="32BA5E5B"/>
    <w:rsid w:val="330F1F55"/>
    <w:rsid w:val="33DA6C16"/>
    <w:rsid w:val="34CA4B42"/>
    <w:rsid w:val="35C66331"/>
    <w:rsid w:val="36EE3775"/>
    <w:rsid w:val="376826B3"/>
    <w:rsid w:val="3788290C"/>
    <w:rsid w:val="396566A9"/>
    <w:rsid w:val="3B7B6BD3"/>
    <w:rsid w:val="3C85541D"/>
    <w:rsid w:val="3CD16616"/>
    <w:rsid w:val="3D0D3370"/>
    <w:rsid w:val="3D4328F5"/>
    <w:rsid w:val="3D91060A"/>
    <w:rsid w:val="3DF80EFA"/>
    <w:rsid w:val="40131785"/>
    <w:rsid w:val="40194E04"/>
    <w:rsid w:val="41596145"/>
    <w:rsid w:val="41961935"/>
    <w:rsid w:val="430F6A43"/>
    <w:rsid w:val="46165064"/>
    <w:rsid w:val="47CE7BC6"/>
    <w:rsid w:val="49CA7B0B"/>
    <w:rsid w:val="4D076DE7"/>
    <w:rsid w:val="4F963644"/>
    <w:rsid w:val="53D820DF"/>
    <w:rsid w:val="55766E6E"/>
    <w:rsid w:val="55FE2844"/>
    <w:rsid w:val="5631225C"/>
    <w:rsid w:val="563A06C4"/>
    <w:rsid w:val="56B1692A"/>
    <w:rsid w:val="58E31ED3"/>
    <w:rsid w:val="5B527FE7"/>
    <w:rsid w:val="5BDC440B"/>
    <w:rsid w:val="5C6B50C1"/>
    <w:rsid w:val="5CAD71C2"/>
    <w:rsid w:val="5D5107A6"/>
    <w:rsid w:val="5D62274C"/>
    <w:rsid w:val="5E7C30F9"/>
    <w:rsid w:val="5F194979"/>
    <w:rsid w:val="5F977172"/>
    <w:rsid w:val="608A08F5"/>
    <w:rsid w:val="618A6BE8"/>
    <w:rsid w:val="6200497C"/>
    <w:rsid w:val="62664952"/>
    <w:rsid w:val="65A10AE2"/>
    <w:rsid w:val="66BF62E9"/>
    <w:rsid w:val="672969F8"/>
    <w:rsid w:val="677F7F74"/>
    <w:rsid w:val="68A27EAA"/>
    <w:rsid w:val="68F4269F"/>
    <w:rsid w:val="6A55309E"/>
    <w:rsid w:val="6D6C669B"/>
    <w:rsid w:val="6DA50B64"/>
    <w:rsid w:val="6DDA6C3E"/>
    <w:rsid w:val="6E034D4A"/>
    <w:rsid w:val="72FB71D6"/>
    <w:rsid w:val="75E1508E"/>
    <w:rsid w:val="768A0573"/>
    <w:rsid w:val="76DF5C5D"/>
    <w:rsid w:val="77B41BE7"/>
    <w:rsid w:val="78C54AB0"/>
    <w:rsid w:val="79C54B4E"/>
    <w:rsid w:val="7A684304"/>
    <w:rsid w:val="7B292727"/>
    <w:rsid w:val="7B68285E"/>
    <w:rsid w:val="7BCC4B3C"/>
    <w:rsid w:val="7C065F02"/>
    <w:rsid w:val="7DED79BE"/>
    <w:rsid w:val="7F4B7DA6"/>
    <w:rsid w:val="7FEA4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kern w:val="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paragraph" w:customStyle="1" w:styleId="16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7">
    <w:name w:val="hover6"/>
    <w:basedOn w:val="7"/>
    <w:qFormat/>
    <w:uiPriority w:val="0"/>
    <w:rPr>
      <w:color w:val="FF7B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2921</Words>
  <Characters>3032</Characters>
  <Lines>0</Lines>
  <Paragraphs>0</Paragraphs>
  <TotalTime>223</TotalTime>
  <ScaleCrop>false</ScaleCrop>
  <LinksUpToDate>false</LinksUpToDate>
  <CharactersWithSpaces>3037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2020-01-03T01:30:00Z</dcterms:created>
  <dc:creator>DELL</dc:creator>
  <cp:lastModifiedBy>Scarlet</cp:lastModifiedBy>
  <cp:lastPrinted>2023-01-16T03:21:13Z</cp:lastPrinted>
  <dcterms:modified xsi:type="dcterms:W3CDTF">2023-01-16T06:47:26Z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CEEDE98925554F879E30AC863D259D82</vt:lpwstr>
  </property>
</Properties>
</file>