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default" w:ascii="Nimbus Roman" w:hAnsi="Nimbus Roman" w:eastAsia="方正小标宋简体" w:cs="Nimbus Roman"/>
          <w:color w:val="auto"/>
          <w:sz w:val="44"/>
          <w:szCs w:val="52"/>
          <w:lang w:val="en-US" w:eastAsia="zh-CN"/>
        </w:rPr>
      </w:pPr>
      <w:r>
        <w:rPr>
          <w:rFonts w:hint="eastAsia" w:ascii="Nimbus Roman" w:hAnsi="Nimbus Roman" w:eastAsia="方正小标宋简体" w:cs="Nimbus Roman"/>
          <w:color w:val="auto"/>
          <w:sz w:val="44"/>
          <w:szCs w:val="52"/>
          <w:lang w:val="en-US" w:eastAsia="zh-CN"/>
        </w:rPr>
        <w:t>许昌市农业农村局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default" w:ascii="Nimbus Roman" w:hAnsi="Nimbus Roman" w:eastAsia="方正小标宋简体" w:cs="Nimbus Roman"/>
          <w:color w:val="auto"/>
          <w:sz w:val="44"/>
          <w:szCs w:val="52"/>
          <w:lang w:val="en" w:eastAsia="zh-CN"/>
        </w:rPr>
      </w:pPr>
      <w:bookmarkStart w:id="0" w:name="_GoBack"/>
      <w:r>
        <w:rPr>
          <w:rFonts w:hint="default" w:ascii="Nimbus Roman" w:hAnsi="Nimbus Roman" w:eastAsia="方正小标宋简体" w:cs="Nimbus Roman"/>
          <w:color w:val="auto"/>
          <w:sz w:val="44"/>
          <w:szCs w:val="52"/>
          <w:lang w:val="en" w:eastAsia="zh-CN"/>
        </w:rPr>
        <w:t>关于进一步</w:t>
      </w:r>
      <w:r>
        <w:rPr>
          <w:rFonts w:hint="eastAsia" w:ascii="Nimbus Roman" w:hAnsi="Nimbus Roman" w:eastAsia="方正小标宋简体" w:cs="Nimbus Roman"/>
          <w:color w:val="auto"/>
          <w:sz w:val="44"/>
          <w:szCs w:val="52"/>
          <w:lang w:val="en" w:eastAsia="zh-CN"/>
        </w:rPr>
        <w:t>规范</w:t>
      </w:r>
      <w:r>
        <w:rPr>
          <w:rFonts w:hint="default" w:ascii="Nimbus Roman" w:hAnsi="Nimbus Roman" w:eastAsia="方正小标宋简体" w:cs="Nimbus Roman"/>
          <w:color w:val="auto"/>
          <w:sz w:val="44"/>
          <w:szCs w:val="52"/>
          <w:lang w:val="en" w:eastAsia="zh-CN"/>
        </w:rPr>
        <w:t>农村土地经营权流转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default" w:ascii="Nimbus Roman" w:hAnsi="Nimbus Roman" w:eastAsia="方正小标宋简体" w:cs="Nimbus Roman"/>
          <w:color w:val="auto"/>
          <w:sz w:val="44"/>
          <w:szCs w:val="52"/>
          <w:lang w:val="en" w:eastAsia="zh-CN"/>
        </w:rPr>
      </w:pPr>
      <w:r>
        <w:rPr>
          <w:rFonts w:hint="default" w:ascii="Nimbus Roman" w:hAnsi="Nimbus Roman" w:eastAsia="方正小标宋简体" w:cs="Nimbus Roman"/>
          <w:color w:val="auto"/>
          <w:sz w:val="44"/>
          <w:szCs w:val="52"/>
          <w:lang w:val="en" w:eastAsia="zh-CN"/>
        </w:rPr>
        <w:t>管理工作的通知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left"/>
        <w:textAlignment w:val="auto"/>
        <w:outlineLvl w:val="9"/>
        <w:rPr>
          <w:rFonts w:hint="default" w:ascii="Nimbus Roman" w:hAnsi="Nimbus Roman" w:eastAsia="华文仿宋" w:cs="Nimbus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各县(市、区)农业农村局，市城乡一体化示范区农业农村发展服务中心、经济技术开发区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法制</w:t>
      </w:r>
      <w:r>
        <w:rPr>
          <w:rFonts w:hint="eastAsia" w:ascii="仿宋_GB2312" w:hAnsi="仿宋_GB2312" w:eastAsia="仿宋_GB2312" w:cs="仿宋_GB2312"/>
          <w:sz w:val="32"/>
          <w:szCs w:val="32"/>
        </w:rPr>
        <w:t>和社会服务局、东城区农业农村局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为进一步规范土地经营权流转管理工作，推动土地经营权流转规范有序，按照农业农村部《农村土地经营权流转管理办法》（部令2021年第1号）精神及省农业农村厅相关要求，现就有关事项通知如下。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CESI楷体-GB13000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Nimbus Roman" w:hAnsi="Nimbus Roman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一、严格把握土地经营权流转</w:t>
      </w:r>
      <w:r>
        <w:rPr>
          <w:rFonts w:hint="default" w:ascii="Nimbus Roman" w:hAnsi="Nimbus Roman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原则。</w:t>
      </w:r>
      <w:r>
        <w:rPr>
          <w:rFonts w:hint="default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土地经营权流转要坚持农村土地农民集体所有、农户家庭承包经营的基本制度；要遵循依法、自愿、有偿原则，严禁农村基层组织以少数服从多数的名义，整村整组流转农户承包地；要坚持农地农用，不得破坏农业综合生产能力和农业生态环境，不得改变承包土地的所有权性质及其农业用途，流转土地优先用于粮食生产，</w:t>
      </w:r>
      <w:r>
        <w:rPr>
          <w:rFonts w:hint="eastAsia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坚决遏制</w:t>
      </w:r>
      <w:r>
        <w:rPr>
          <w:rFonts w:hint="default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耕地“非农化”、</w:t>
      </w:r>
      <w:r>
        <w:rPr>
          <w:rFonts w:hint="eastAsia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有效</w:t>
      </w:r>
      <w:r>
        <w:rPr>
          <w:rFonts w:hint="default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防止</w:t>
      </w:r>
      <w:r>
        <w:rPr>
          <w:rFonts w:hint="eastAsia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基本农田</w:t>
      </w:r>
      <w:r>
        <w:rPr>
          <w:rFonts w:hint="default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“非粮化”。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华文仿宋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Nimbus Roman" w:hAnsi="Nimbus Roman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二、规范农户书面委托。</w:t>
      </w:r>
      <w:r>
        <w:rPr>
          <w:rFonts w:hint="default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承包方自愿委托发包方、中介组织或者他人流转其土地经营权的，应当由承包方出具流转委托书。要规范农户书面委托，委托书应当载明委托的事项、权限和期限等，并由委托人和受托人签字或者盖章。没有</w:t>
      </w:r>
      <w:r>
        <w:rPr>
          <w:rFonts w:hint="eastAsia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承包方</w:t>
      </w:r>
      <w:r>
        <w:rPr>
          <w:rFonts w:hint="default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的书面委托，任何组织和个人无权以任何方式决定流转</w:t>
      </w:r>
      <w:r>
        <w:rPr>
          <w:rFonts w:hint="eastAsia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承包方</w:t>
      </w:r>
      <w:r>
        <w:rPr>
          <w:rFonts w:hint="default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的土地经营权。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华文仿宋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Nimbus Roman" w:hAnsi="Nimbus Roman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</w:t>
      </w:r>
      <w:r>
        <w:rPr>
          <w:rFonts w:hint="default" w:ascii="Nimbus Roman" w:hAnsi="Nimbus Roman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规范土地经营权流转合同。</w:t>
      </w:r>
      <w:r>
        <w:rPr>
          <w:rFonts w:hint="default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土地</w:t>
      </w:r>
      <w:r>
        <w:rPr>
          <w:rFonts w:hint="eastAsia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经营权</w:t>
      </w:r>
      <w:r>
        <w:rPr>
          <w:rFonts w:hint="default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流转合同作为维护流转双方权益的重要法律依据，各地要采取有效措施，强化管理</w:t>
      </w:r>
      <w:r>
        <w:rPr>
          <w:rFonts w:hint="eastAsia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和指导</w:t>
      </w:r>
      <w:r>
        <w:rPr>
          <w:rFonts w:hint="default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eastAsia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各县（市、区）</w:t>
      </w:r>
      <w:r>
        <w:rPr>
          <w:rFonts w:hint="default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农业农村部门和乡（镇）要积极推广使用全国统一规范的农村土地经营权出租（入股）合同（示范文本），引导流转主体与流转农户签订规范合同文本。乡（镇）应当向达成流转意向的双方提供统一文本格式的流转合同，并指导合同签订；流转合同中有违反法律法规的，应当及时予以纠正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Nimbus Roman" w:hAnsi="Nimbus Roman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</w:t>
      </w:r>
      <w:r>
        <w:rPr>
          <w:rFonts w:hint="default" w:ascii="Nimbus Roman" w:hAnsi="Nimbus Roman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规范土地经营权流转台账。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乡（镇）应当建立土地经营权流转台账，及时准确记载流转情况。流转台账应包括流转双方基本情况及土地面积、流转租金、土地用途等基本内容，台账要具体到流入方、细化到农户。各县（市、区）农业农村部门要指导乡（镇）参照土地经营权流转工作台账（样表）（见附件1），规范建立流转台账，并及时汇总建立辖区内土地经营权流转台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Nimbus Roman" w:hAnsi="Nimbus Roman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</w:t>
      </w:r>
      <w:r>
        <w:rPr>
          <w:rFonts w:hint="default" w:ascii="Nimbus Roman" w:hAnsi="Nimbus Roman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规范土地经营权流转备案和</w:t>
      </w:r>
      <w:r>
        <w:rPr>
          <w:rFonts w:hint="eastAsia" w:ascii="Nimbus Roman" w:hAnsi="Nimbus Roman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档案</w:t>
      </w:r>
      <w:r>
        <w:rPr>
          <w:rFonts w:hint="default" w:ascii="Nimbus Roman" w:hAnsi="Nimbus Roman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default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发包方对承包方流转土地经营权、受让方再流转土地经营权以及承包方、受让方利用土地经营权融资担保的，应当办理备案，并向乡（镇）备案。乡（镇）</w:t>
      </w:r>
      <w:r>
        <w:rPr>
          <w:rFonts w:hint="eastAsia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、村</w:t>
      </w:r>
      <w:r>
        <w:rPr>
          <w:rFonts w:hint="default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应坚持备案工作</w:t>
      </w:r>
      <w:r>
        <w:rPr>
          <w:rFonts w:hint="eastAsia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default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转一宗、</w:t>
      </w:r>
      <w:r>
        <w:rPr>
          <w:rFonts w:hint="eastAsia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备</w:t>
      </w:r>
      <w:r>
        <w:rPr>
          <w:rFonts w:hint="default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一宗</w:t>
      </w:r>
      <w:r>
        <w:rPr>
          <w:rFonts w:hint="eastAsia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default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原则，备案材料至少应包括流转双方基本情况、流转合同、</w:t>
      </w:r>
      <w:r>
        <w:rPr>
          <w:rFonts w:hint="eastAsia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书面</w:t>
      </w:r>
      <w:r>
        <w:rPr>
          <w:rFonts w:hint="default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委托书等。各县（市、区）农业农村部门要指导乡（镇）</w:t>
      </w:r>
      <w:r>
        <w:rPr>
          <w:rFonts w:hint="eastAsia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、村</w:t>
      </w:r>
      <w:r>
        <w:rPr>
          <w:rFonts w:hint="default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建立一宗一</w:t>
      </w:r>
      <w:r>
        <w:rPr>
          <w:rFonts w:hint="eastAsia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档</w:t>
      </w:r>
      <w:r>
        <w:rPr>
          <w:rFonts w:hint="default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、一村一册、一乡（镇）一柜的土地</w:t>
      </w:r>
      <w:r>
        <w:rPr>
          <w:rFonts w:hint="eastAsia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经营权</w:t>
      </w:r>
      <w:r>
        <w:rPr>
          <w:rFonts w:hint="default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流转档案制度，对土地经营权流转有关文件、资料及流转合同等进行归档并妥善保管。</w:t>
      </w:r>
    </w:p>
    <w:p>
      <w:r>
        <w:rPr>
          <w:rFonts w:hint="eastAsia" w:ascii="Nimbus Roman" w:hAnsi="Nimbus Roman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六、落实工商资本租赁农地审查审核制度</w:t>
      </w:r>
      <w:r>
        <w:rPr>
          <w:rFonts w:hint="default" w:ascii="Nimbus Roman" w:hAnsi="Nimbus Roman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eastAsia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各地要认真落实</w:t>
      </w:r>
      <w:r>
        <w:rPr>
          <w:rFonts w:hint="default" w:ascii="Nimbus Roman" w:hAnsi="Nimbus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《农村土地经营权流转管理办法》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《关于加强对工商资本租赁农地监管和风险防范的实施办法》（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许农业〔2021〕90号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等有关规定，由县（市、区）政府制定工商企业等社会资本通过流转取得土地经营权的资格审查、项目审核和风险防范实施细则；由县（市、区）和乡（镇）政府建立健全相应的资格审查、项目审核、分级备案和风险防范制度机制，并依法开展审查审核工作，未按规定提交审查审核申请或者审查审核未通过的，不得开展土地经营权流转活动。要落实工商企业等社会资本流转土地经营权备案制度，流转500亩以下的由乡（镇）备案，流转面积500-1000亩、1000-10000亩、10000亩以上的，分别向县级、市级、省级农业农村部门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楷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ZjFkOGNlMjAzOWM5ZjI4OGQ5MGE5M2IzYjJhNTAifQ=="/>
  </w:docVars>
  <w:rsids>
    <w:rsidRoot w:val="499C1A8B"/>
    <w:rsid w:val="499C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uiPriority w:val="0"/>
    <w:pPr>
      <w:spacing w:after="0" w:afterLines="0" w:line="600" w:lineRule="exact"/>
      <w:ind w:firstLine="420"/>
      <w:jc w:val="center"/>
      <w:textAlignment w:val="baseline"/>
    </w:pPr>
    <w:rPr>
      <w:rFonts w:ascii="Times New Roman" w:hAnsi="Times New Roman" w:eastAsia="宋体" w:cs="Times New Roman"/>
      <w:bCs/>
      <w:sz w:val="32"/>
      <w:szCs w:val="24"/>
    </w:rPr>
  </w:style>
  <w:style w:type="paragraph" w:customStyle="1" w:styleId="3">
    <w:name w:val="UserStyle_1"/>
    <w:basedOn w:val="1"/>
    <w:uiPriority w:val="0"/>
    <w:pPr>
      <w:spacing w:after="120" w:afterLines="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2023-11-01T09:02:00Z</dcterms:created>
  <dc:creator>gentleness</dc:creator>
  <cp:lastModifiedBy>gentleness</cp:lastModifiedBy>
  <dcterms:modified xsi:type="dcterms:W3CDTF">2023-11-01T09:03:34Z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1704CE6C5B72498A9D8F5B9AE53EA2F1_11</vt:lpwstr>
  </property>
</Properties>
</file>