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color w:val="auto"/>
          <w:sz w:val="44"/>
          <w:szCs w:val="44"/>
        </w:rPr>
      </w:pPr>
    </w:p>
    <w:p>
      <w:pPr>
        <w:spacing w:line="700" w:lineRule="exact"/>
        <w:jc w:val="center"/>
        <w:rPr>
          <w:rFonts w:hint="eastAsia" w:ascii="方正小标宋简体" w:hAnsi="方正小标宋简体" w:eastAsia="方正小标宋简体" w:cs="方正小标宋简体"/>
          <w:color w:val="auto"/>
          <w:sz w:val="44"/>
          <w:szCs w:val="44"/>
        </w:rPr>
      </w:pPr>
    </w:p>
    <w:p>
      <w:pPr>
        <w:spacing w:line="700" w:lineRule="exact"/>
        <w:rPr>
          <w:rFonts w:hint="eastAsia" w:ascii="方正小标宋简体" w:hAnsi="方正小标宋简体" w:eastAsia="方正小标宋简体" w:cs="方正小标宋简体"/>
          <w:color w:val="auto"/>
          <w:sz w:val="44"/>
          <w:szCs w:val="44"/>
        </w:rPr>
      </w:pPr>
    </w:p>
    <w:p>
      <w:pPr>
        <w:spacing w:line="700" w:lineRule="exact"/>
        <w:rPr>
          <w:rFonts w:hint="eastAsia" w:ascii="方正小标宋简体" w:hAnsi="方正小标宋简体" w:eastAsia="方正小标宋简体" w:cs="方正小标宋简体"/>
          <w:color w:val="auto"/>
          <w:sz w:val="44"/>
          <w:szCs w:val="44"/>
        </w:rPr>
      </w:pPr>
    </w:p>
    <w:p>
      <w:pPr>
        <w:spacing w:line="400" w:lineRule="exact"/>
        <w:rPr>
          <w:rFonts w:hint="eastAsia" w:ascii="方正小标宋简体" w:hAnsi="方正小标宋简体" w:eastAsia="方正小标宋简体" w:cs="方正小标宋简体"/>
          <w:color w:val="auto"/>
          <w:sz w:val="44"/>
          <w:szCs w:val="44"/>
        </w:rPr>
      </w:pPr>
    </w:p>
    <w:p>
      <w:pPr>
        <w:spacing w:line="5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许建安办〔202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72" w:lineRule="exact"/>
        <w:ind w:firstLine="880" w:firstLineChars="200"/>
        <w:jc w:val="center"/>
        <w:textAlignment w:val="auto"/>
        <w:rPr>
          <w:rFonts w:hint="eastAsia" w:ascii="方正粗黑宋简体" w:hAnsi="方正粗黑宋简体" w:eastAsia="方正粗黑宋简体" w:cs="方正粗黑宋简体"/>
          <w:color w:val="auto"/>
          <w:sz w:val="44"/>
          <w:szCs w:val="44"/>
          <w:lang w:eastAsia="zh-CN"/>
        </w:rPr>
      </w:pPr>
    </w:p>
    <w:p>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建安区</w:t>
      </w:r>
      <w:r>
        <w:rPr>
          <w:rFonts w:hint="eastAsia" w:ascii="方正小标宋简体" w:hAnsi="方正小标宋简体" w:eastAsia="方正小标宋简体" w:cs="方正小标宋简体"/>
          <w:color w:val="auto"/>
          <w:sz w:val="44"/>
          <w:szCs w:val="44"/>
        </w:rPr>
        <w:t>安全生产委员会</w:t>
      </w:r>
      <w:r>
        <w:rPr>
          <w:rFonts w:hint="eastAsia" w:ascii="方正小标宋简体" w:hAnsi="方正小标宋简体" w:eastAsia="方正小标宋简体" w:cs="方正小标宋简体"/>
          <w:color w:val="auto"/>
          <w:sz w:val="44"/>
          <w:szCs w:val="44"/>
          <w:lang w:eastAsia="zh-CN"/>
        </w:rPr>
        <w:t>办公室</w:t>
      </w:r>
    </w:p>
    <w:p>
      <w:pPr>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关于开展202</w:t>
      </w:r>
      <w:r>
        <w:rPr>
          <w:rFonts w:hint="eastAsia" w:ascii="方正小标宋简体" w:hAnsi="宋体" w:eastAsia="方正小标宋简体"/>
          <w:color w:val="auto"/>
          <w:sz w:val="44"/>
          <w:szCs w:val="44"/>
          <w:lang w:val="en-US" w:eastAsia="zh-CN"/>
        </w:rPr>
        <w:t>2</w:t>
      </w:r>
      <w:r>
        <w:rPr>
          <w:rFonts w:hint="eastAsia" w:ascii="方正小标宋简体" w:hAnsi="宋体" w:eastAsia="方正小标宋简体"/>
          <w:color w:val="auto"/>
          <w:sz w:val="44"/>
          <w:szCs w:val="44"/>
        </w:rPr>
        <w:t>年“安全生产月”活动的通知</w:t>
      </w:r>
    </w:p>
    <w:p>
      <w:pPr>
        <w:spacing w:line="360" w:lineRule="auto"/>
        <w:rPr>
          <w:rFonts w:ascii="仿宋_GB2312" w:hAnsi="仿宋"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56" w:lineRule="exact"/>
        <w:jc w:val="both"/>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kern w:val="0"/>
          <w:sz w:val="32"/>
          <w:szCs w:val="32"/>
        </w:rPr>
        <w:t>各</w:t>
      </w:r>
      <w:r>
        <w:rPr>
          <w:rFonts w:hint="eastAsia" w:ascii="仿宋_GB2312" w:hAnsi="仿宋_GB2312" w:eastAsia="仿宋_GB2312" w:cs="仿宋_GB2312"/>
          <w:color w:val="auto"/>
          <w:kern w:val="0"/>
          <w:sz w:val="32"/>
          <w:szCs w:val="32"/>
          <w:lang w:eastAsia="zh-CN"/>
        </w:rPr>
        <w:t>乡镇</w:t>
      </w:r>
      <w:r>
        <w:rPr>
          <w:rFonts w:hint="eastAsia" w:ascii="仿宋_GB2312" w:hAnsi="仿宋_GB2312" w:eastAsia="仿宋_GB2312" w:cs="仿宋_GB2312"/>
          <w:color w:val="auto"/>
          <w:kern w:val="0"/>
          <w:sz w:val="32"/>
          <w:szCs w:val="32"/>
        </w:rPr>
        <w:t>人民政府，</w:t>
      </w:r>
      <w:r>
        <w:rPr>
          <w:rFonts w:hint="eastAsia" w:ascii="仿宋_GB2312" w:hAnsi="仿宋_GB2312" w:eastAsia="仿宋_GB2312" w:cs="仿宋_GB2312"/>
          <w:color w:val="auto"/>
          <w:kern w:val="0"/>
          <w:sz w:val="32"/>
          <w:szCs w:val="32"/>
          <w:lang w:eastAsia="zh-CN"/>
        </w:rPr>
        <w:t>各街道办事处，</w:t>
      </w:r>
      <w:r>
        <w:rPr>
          <w:rFonts w:hint="eastAsia" w:ascii="仿宋_GB2312" w:hAnsi="仿宋_GB2312" w:eastAsia="仿宋_GB2312" w:cs="仿宋_GB2312"/>
          <w:color w:val="auto"/>
          <w:kern w:val="0"/>
          <w:sz w:val="32"/>
          <w:szCs w:val="32"/>
          <w:lang w:val="en-US" w:eastAsia="zh-CN"/>
        </w:rPr>
        <w:t>先进制造业开发区,</w:t>
      </w:r>
      <w:r>
        <w:rPr>
          <w:rFonts w:hint="eastAsia" w:ascii="仿宋_GB2312" w:hAnsi="仿宋_GB2312" w:eastAsia="仿宋_GB2312" w:cs="仿宋_GB2312"/>
          <w:color w:val="auto"/>
          <w:kern w:val="0"/>
          <w:sz w:val="32"/>
          <w:szCs w:val="32"/>
          <w:lang w:eastAsia="zh-CN"/>
        </w:rPr>
        <w:t>区安委会各成员单位</w:t>
      </w:r>
      <w:r>
        <w:rPr>
          <w:rFonts w:hint="eastAsia" w:ascii="仿宋_GB2312" w:hAnsi="仿宋_GB2312" w:eastAsia="仿宋_GB2312" w:cs="仿宋_GB2312"/>
          <w:color w:val="auto"/>
          <w:kern w:val="0"/>
          <w:sz w:val="32"/>
          <w:szCs w:val="32"/>
          <w:lang w:val="en-US" w:eastAsia="zh-CN"/>
        </w:rPr>
        <w:t>,部分重点企业</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val="0"/>
          <w:bCs/>
          <w:color w:val="auto"/>
          <w:sz w:val="32"/>
          <w:szCs w:val="32"/>
          <w:lang w:val="en-US" w:eastAsia="zh-CN"/>
        </w:rPr>
        <w:t>今年6月是全国第21个“安全生产月”，主题是</w:t>
      </w:r>
      <w:r>
        <w:rPr>
          <w:rFonts w:hint="eastAsia" w:ascii="仿宋_GB2312" w:hAnsi="仿宋_GB2312" w:eastAsia="仿宋_GB2312" w:cs="仿宋_GB2312"/>
          <w:b/>
          <w:bCs w:val="0"/>
          <w:color w:val="auto"/>
          <w:sz w:val="32"/>
          <w:szCs w:val="32"/>
          <w:lang w:val="en-US" w:eastAsia="zh-CN"/>
        </w:rPr>
        <w:t>“遵守安全生产法 当好第一责任人”</w:t>
      </w:r>
      <w:r>
        <w:rPr>
          <w:rFonts w:hint="eastAsia" w:ascii="仿宋" w:hAnsi="仿宋" w:eastAsia="仿宋" w:cs="仿宋"/>
          <w:b w:val="0"/>
          <w:bCs/>
          <w:color w:val="auto"/>
          <w:sz w:val="32"/>
          <w:szCs w:val="32"/>
          <w:lang w:val="en-US" w:eastAsia="zh-CN"/>
        </w:rPr>
        <w:t>。</w:t>
      </w:r>
      <w:r>
        <w:rPr>
          <w:rFonts w:hint="eastAsia" w:ascii="仿宋_GB2312" w:hAnsi="仿宋_GB2312" w:eastAsia="仿宋_GB2312" w:cs="仿宋_GB2312"/>
          <w:color w:val="auto"/>
          <w:kern w:val="0"/>
          <w:sz w:val="32"/>
          <w:szCs w:val="32"/>
          <w:lang w:val="en-US" w:eastAsia="zh-CN"/>
        </w:rPr>
        <w:t>根据《许昌市安全生产委员会办公室关于开展2022年“安全生产月”活动的通知》（许市安办〔2022〕14号）文件精神，我区将于6月1日至30日开展“安全生产月”宣传活动。现将有关事项通知如下。</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一、总体要求</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坚持</w:t>
      </w:r>
      <w:r>
        <w:rPr>
          <w:rFonts w:hint="eastAsia" w:ascii="仿宋_GB2312" w:hAnsi="仿宋_GB2312" w:eastAsia="仿宋_GB2312" w:cs="仿宋_GB2312"/>
          <w:color w:val="auto"/>
          <w:kern w:val="0"/>
          <w:sz w:val="32"/>
          <w:szCs w:val="32"/>
        </w:rPr>
        <w:t>以习近平新时代中国特色社会主义思想为指导，</w:t>
      </w:r>
      <w:r>
        <w:rPr>
          <w:rFonts w:hint="eastAsia" w:ascii="仿宋_GB2312" w:hAnsi="仿宋_GB2312" w:eastAsia="仿宋_GB2312" w:cs="仿宋_GB2312"/>
          <w:color w:val="auto"/>
          <w:kern w:val="0"/>
          <w:sz w:val="32"/>
          <w:szCs w:val="32"/>
          <w:lang w:eastAsia="zh-CN"/>
        </w:rPr>
        <w:t>结合能力作风建设年活动，</w:t>
      </w:r>
      <w:r>
        <w:rPr>
          <w:rFonts w:hint="eastAsia" w:ascii="仿宋_GB2312" w:hAnsi="仿宋_GB2312" w:eastAsia="仿宋_GB2312" w:cs="仿宋_GB2312"/>
          <w:color w:val="auto"/>
          <w:kern w:val="0"/>
          <w:sz w:val="32"/>
          <w:szCs w:val="32"/>
        </w:rPr>
        <w:t>深入学习宣传习近平总书记关于安全生产重要论述精神，认真</w:t>
      </w:r>
      <w:r>
        <w:rPr>
          <w:rFonts w:hint="eastAsia" w:ascii="仿宋_GB2312" w:hAnsi="仿宋_GB2312" w:eastAsia="仿宋_GB2312" w:cs="仿宋_GB2312"/>
          <w:color w:val="auto"/>
          <w:kern w:val="0"/>
          <w:sz w:val="32"/>
          <w:szCs w:val="32"/>
          <w:lang w:eastAsia="zh-CN"/>
        </w:rPr>
        <w:t>贯彻</w:t>
      </w:r>
      <w:r>
        <w:rPr>
          <w:rFonts w:hint="eastAsia" w:ascii="仿宋_GB2312" w:hAnsi="仿宋_GB2312" w:eastAsia="仿宋_GB2312" w:cs="仿宋_GB2312"/>
          <w:color w:val="auto"/>
          <w:kern w:val="0"/>
          <w:sz w:val="32"/>
          <w:szCs w:val="32"/>
        </w:rPr>
        <w:t>落实省委省政府</w:t>
      </w:r>
      <w:r>
        <w:rPr>
          <w:rFonts w:hint="eastAsia" w:ascii="仿宋_GB2312" w:hAnsi="仿宋_GB2312" w:eastAsia="仿宋_GB2312" w:cs="仿宋_GB2312"/>
          <w:color w:val="auto"/>
          <w:kern w:val="0"/>
          <w:sz w:val="32"/>
          <w:szCs w:val="32"/>
          <w:lang w:eastAsia="zh-CN"/>
        </w:rPr>
        <w:t>、市委市政府、</w:t>
      </w:r>
      <w:r>
        <w:rPr>
          <w:rFonts w:hint="eastAsia" w:ascii="仿宋_GB2312" w:hAnsi="仿宋_GB2312" w:eastAsia="仿宋_GB2312" w:cs="仿宋_GB2312"/>
          <w:color w:val="auto"/>
          <w:kern w:val="0"/>
          <w:sz w:val="32"/>
          <w:szCs w:val="32"/>
          <w:lang w:val="en-US" w:eastAsia="zh-CN"/>
        </w:rPr>
        <w:t>区委区政府</w:t>
      </w:r>
      <w:r>
        <w:rPr>
          <w:rFonts w:hint="eastAsia" w:ascii="仿宋_GB2312" w:hAnsi="仿宋_GB2312" w:eastAsia="仿宋_GB2312" w:cs="仿宋_GB2312"/>
          <w:color w:val="auto"/>
          <w:kern w:val="0"/>
          <w:sz w:val="32"/>
          <w:szCs w:val="32"/>
        </w:rPr>
        <w:t>关于安全生产工作决策部署，推动各级树牢安全发展理念，坚持人民至上、生命至上，坚决遏制</w:t>
      </w:r>
      <w:r>
        <w:rPr>
          <w:rFonts w:hint="eastAsia" w:ascii="仿宋_GB2312" w:hAnsi="仿宋_GB2312" w:eastAsia="仿宋_GB2312" w:cs="仿宋_GB2312"/>
          <w:color w:val="auto"/>
          <w:kern w:val="0"/>
          <w:sz w:val="32"/>
          <w:szCs w:val="32"/>
          <w:lang w:eastAsia="zh-CN"/>
        </w:rPr>
        <w:t>较大以上生产安全</w:t>
      </w:r>
      <w:r>
        <w:rPr>
          <w:rFonts w:hint="eastAsia" w:ascii="仿宋_GB2312" w:hAnsi="仿宋_GB2312" w:eastAsia="仿宋_GB2312" w:cs="仿宋_GB2312"/>
          <w:color w:val="auto"/>
          <w:kern w:val="0"/>
          <w:sz w:val="32"/>
          <w:szCs w:val="32"/>
        </w:rPr>
        <w:t>事故发生，</w:t>
      </w:r>
      <w:r>
        <w:rPr>
          <w:rFonts w:hint="eastAsia" w:ascii="仿宋_GB2312" w:hAnsi="仿宋_GB2312" w:eastAsia="仿宋_GB2312" w:cs="仿宋_GB2312"/>
          <w:color w:val="auto"/>
          <w:kern w:val="0"/>
          <w:sz w:val="32"/>
          <w:szCs w:val="32"/>
          <w:lang w:eastAsia="zh-CN"/>
        </w:rPr>
        <w:t>推动安全生产月活动走深走实，</w:t>
      </w:r>
      <w:r>
        <w:rPr>
          <w:rFonts w:hint="eastAsia" w:ascii="仿宋_GB2312" w:hAnsi="仿宋_GB2312" w:eastAsia="仿宋_GB2312" w:cs="仿宋_GB2312"/>
          <w:color w:val="auto"/>
          <w:kern w:val="0"/>
          <w:sz w:val="32"/>
          <w:szCs w:val="32"/>
        </w:rPr>
        <w:t>增强全民安全意识，提升公众安全素质，促进全</w:t>
      </w:r>
      <w:r>
        <w:rPr>
          <w:rFonts w:hint="eastAsia" w:ascii="仿宋_GB2312" w:hAnsi="仿宋_GB2312" w:eastAsia="仿宋_GB2312" w:cs="仿宋_GB2312"/>
          <w:color w:val="auto"/>
          <w:kern w:val="0"/>
          <w:sz w:val="32"/>
          <w:szCs w:val="32"/>
          <w:lang w:val="en-US" w:eastAsia="zh-CN"/>
        </w:rPr>
        <w:t>区</w:t>
      </w:r>
      <w:r>
        <w:rPr>
          <w:rFonts w:hint="eastAsia" w:ascii="仿宋_GB2312" w:hAnsi="仿宋_GB2312" w:eastAsia="仿宋_GB2312" w:cs="仿宋_GB2312"/>
          <w:color w:val="auto"/>
          <w:kern w:val="0"/>
          <w:sz w:val="32"/>
          <w:szCs w:val="32"/>
        </w:rPr>
        <w:t>安全生产水平持续提升和安全生产形势稳定好转，为党的二十大胜利召开创造良好安全环境。</w:t>
      </w:r>
    </w:p>
    <w:p>
      <w:pPr>
        <w:keepNext w:val="0"/>
        <w:keepLines w:val="0"/>
        <w:pageBreakBefore w:val="0"/>
        <w:widowControl w:val="0"/>
        <w:kinsoku/>
        <w:wordWrap/>
        <w:overflowPunct/>
        <w:topLinePunct w:val="0"/>
        <w:autoSpaceDE/>
        <w:autoSpaceDN/>
        <w:bidi w:val="0"/>
        <w:adjustRightInd/>
        <w:snapToGrid/>
        <w:spacing w:line="556" w:lineRule="exact"/>
        <w:ind w:firstLine="645"/>
        <w:textAlignment w:val="auto"/>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二、活动主要内容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3" w:firstLineChars="200"/>
        <w:textAlignment w:val="auto"/>
        <w:rPr>
          <w:rFonts w:hint="eastAsia" w:ascii="仿宋_GB2312" w:eastAsia="仿宋_GB2312" w:cs="仿宋_GB2312"/>
          <w:color w:val="auto"/>
          <w:sz w:val="32"/>
          <w:szCs w:val="32"/>
        </w:rPr>
      </w:pPr>
      <w:r>
        <w:rPr>
          <w:rStyle w:val="14"/>
          <w:rFonts w:hint="eastAsia" w:ascii="楷体" w:hAnsi="楷体" w:eastAsia="楷体" w:cs="楷体"/>
          <w:b/>
          <w:i w:val="0"/>
          <w:caps w:val="0"/>
          <w:color w:val="auto"/>
          <w:spacing w:val="0"/>
          <w:sz w:val="32"/>
          <w:szCs w:val="32"/>
          <w:lang w:eastAsia="zh-CN"/>
        </w:rPr>
        <w:t>（一）深入学习贯彻习近平总书记关于安全生产重要论述，推动贯彻落实安全生产各项决策部署。</w:t>
      </w:r>
      <w:r>
        <w:rPr>
          <w:rFonts w:hint="eastAsia" w:ascii="仿宋_GB2312" w:hAnsi="仿宋_GB2312" w:eastAsia="仿宋_GB2312" w:cs="仿宋_GB2312"/>
          <w:color w:val="auto"/>
          <w:kern w:val="0"/>
          <w:sz w:val="32"/>
          <w:szCs w:val="32"/>
          <w:lang w:val="en-US" w:eastAsia="zh-CN" w:bidi="ar-SA"/>
        </w:rPr>
        <w:t>持续深入学习贯彻习近平总书记关于安全生产重要论述，集中学习观看《生命重于泰山》电视专题片，强化“人民至上、生命至上”理念，通过专题研讨、集中宣讲、培训辅导等多种形式，推动向县、乡镇 （街道）党组织和企事业单位延伸。组织学习贯彻习近平总书记重要论述集中宣讲，联合区委宣传部组织全区宣讲小分队。开展安全生产“公开课”“大家谈”“班组会”等学习活动，党政“一把手”要带头讲安全，企业第一责任人专题讲安全，一线工作者互动讲安全。结合安全生产三年整治专项行动和当前集中开展的安全生产大检查，突出责任落实、源头治理、督查检查、严格执法、打非治违，推动安全生产十五条意见贯彻落实，宣传解读《许昌市贯彻落实国务院安委会全面加强安全生产“十五条硬措施”实施意见》，深入报道推进举措和工作成效，进一步凝心聚力，全力维护安全生产形势稳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20"/>
        <w:textAlignment w:val="auto"/>
        <w:rPr>
          <w:rFonts w:hint="eastAsia" w:ascii="仿宋_GB2312" w:hAnsi="仿宋_GB2312" w:eastAsia="仿宋_GB2312" w:cs="仿宋_GB2312"/>
          <w:color w:val="auto"/>
          <w:kern w:val="0"/>
          <w:sz w:val="32"/>
          <w:szCs w:val="32"/>
          <w:lang w:val="en-US" w:eastAsia="zh-CN" w:bidi="ar-SA"/>
        </w:rPr>
      </w:pPr>
      <w:r>
        <w:rPr>
          <w:rStyle w:val="14"/>
          <w:rFonts w:hint="eastAsia" w:ascii="楷体" w:hAnsi="楷体" w:eastAsia="楷体" w:cs="楷体"/>
          <w:b/>
          <w:i w:val="0"/>
          <w:caps w:val="0"/>
          <w:color w:val="auto"/>
          <w:spacing w:val="0"/>
          <w:sz w:val="32"/>
          <w:szCs w:val="32"/>
          <w:lang w:eastAsia="zh-CN"/>
        </w:rPr>
        <w:t>（二）深入宣传贯彻《安全生产法》，全面推动“第一责任人”守法履责。</w:t>
      </w:r>
      <w:r>
        <w:rPr>
          <w:rFonts w:hint="eastAsia" w:ascii="仿宋_GB2312" w:hAnsi="仿宋_GB2312" w:eastAsia="仿宋_GB2312" w:cs="仿宋_GB2312"/>
          <w:color w:val="auto"/>
          <w:kern w:val="0"/>
          <w:sz w:val="32"/>
          <w:szCs w:val="32"/>
          <w:lang w:val="en-US" w:eastAsia="zh-CN" w:bidi="ar-SA"/>
        </w:rPr>
        <w:t>生产经营单位法人代表是安全生产“第一责任人”，各乡镇办、各部门和单位要突出重点，广泛开展《安全生产法》和《河南省安全生产条例》宣传活动。要厘清企业经营管理关系，生产经营的实际决策者必须承担安全生产责任。要组织开展企业“第一责任人”法律知识培训，编制发放《安全生产应知应会手册》，确保“第一责任人”知晓权利义务，明白法定职责。加强对“第一责任人”宣传教育和督促引导，推动企业法定代表人、实际控制人、实际负责人自觉把安全放在第一位，切实担起安全生产管理责任。继续推进“安全生产承诺制”，组织开展企业“安全生产责任书”签订活动和“第一责任人安全倡议书”活动。继续开展安全生产警示曝光，安全生产月期间，要曝光一批企业主体责任落实不到位被实行“一案双罚”的执法案例、安全生产行刑衔接的典型案例，以及因发生生产安全事故构成重大责任事故罪的典型案例，形成舆论声势。落实《许昌市安全生产领域举报奖励实施办法》，发挥“12350”举报电话作用，鼓励广大群众特别是企业员工举报重大隐患和违法违规行为，鼓励社会公众举报安全生产重大隐患和违法行为，广泛开展“我是安全吹哨人”“查找身边的隐患”等活动，调动职工参与监督企业和主要负责人落实安全生产责任的主动性和自觉性。</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3" w:firstLineChars="200"/>
        <w:textAlignment w:val="auto"/>
        <w:rPr>
          <w:rFonts w:hint="eastAsia" w:ascii="仿宋_GB2312" w:hAnsi="仿宋_GB2312" w:eastAsia="仿宋_GB2312" w:cs="仿宋_GB2312"/>
          <w:color w:val="auto"/>
          <w:kern w:val="0"/>
          <w:sz w:val="32"/>
          <w:szCs w:val="32"/>
          <w:lang w:val="en-US" w:eastAsia="zh-CN" w:bidi="ar-SA"/>
        </w:rPr>
      </w:pPr>
      <w:r>
        <w:rPr>
          <w:rStyle w:val="14"/>
          <w:rFonts w:hint="eastAsia" w:ascii="楷体" w:hAnsi="楷体" w:eastAsia="楷体" w:cs="楷体"/>
          <w:b/>
          <w:i w:val="0"/>
          <w:caps w:val="0"/>
          <w:color w:val="auto"/>
          <w:spacing w:val="0"/>
          <w:sz w:val="32"/>
          <w:szCs w:val="32"/>
          <w:lang w:eastAsia="zh-CN"/>
        </w:rPr>
        <w:t>（三）创新宣传活动方式，分层级开展安全生产月启动仪式和“宣传咨询日”活动。</w:t>
      </w:r>
      <w:r>
        <w:rPr>
          <w:rFonts w:hint="eastAsia" w:ascii="仿宋_GB2312" w:hAnsi="仿宋_GB2312" w:eastAsia="仿宋_GB2312" w:cs="仿宋_GB2312"/>
          <w:color w:val="auto"/>
          <w:kern w:val="0"/>
          <w:sz w:val="32"/>
          <w:szCs w:val="32"/>
          <w:lang w:val="en-US" w:eastAsia="zh-CN" w:bidi="ar-SA"/>
        </w:rPr>
        <w:t>各乡镇办、各部门和单位要结合我区疫情和行业实际，灵活选择线上、线下形式，创新举办安全生产月启动仪式和“宣传咨询日”活动。要突出安全生产月主题，把法律普及和日常宣传紧密融合。要丰富活动内容，组织群众喜闻乐见、形式多样、线上线下相结合的安全宣传咨询活动。邀请有影响的公众人物、行业专家、媒体人员等开展“主播讲安全”“专家远程会诊”“美好生活从安全开始话题征集”“新修订安法知多少”“救援技能趣味测试”等活动。要充分利用新媒体手段和传播优势，全方位营造活动声势。组织开展“安全宣传全屏传播”，制作公益广告、海报、短视频、提示语音等，利用各传播载体集中推送，在全社会大力营造“关爱生命、关注安全”的浓厚氛围。</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3" w:firstLineChars="200"/>
        <w:textAlignment w:val="auto"/>
        <w:rPr>
          <w:rFonts w:hint="eastAsia" w:ascii="仿宋_GB2312" w:hAnsi="仿宋_GB2312" w:eastAsia="仿宋_GB2312" w:cs="仿宋_GB2312"/>
          <w:color w:val="auto"/>
          <w:kern w:val="0"/>
          <w:sz w:val="32"/>
          <w:szCs w:val="32"/>
          <w:lang w:val="en-US" w:eastAsia="zh-CN" w:bidi="ar-SA"/>
        </w:rPr>
      </w:pPr>
      <w:r>
        <w:rPr>
          <w:rStyle w:val="14"/>
          <w:rFonts w:hint="eastAsia" w:ascii="楷体" w:hAnsi="楷体" w:eastAsia="楷体" w:cs="楷体"/>
          <w:b/>
          <w:i w:val="0"/>
          <w:caps w:val="0"/>
          <w:color w:val="auto"/>
          <w:spacing w:val="0"/>
          <w:sz w:val="32"/>
          <w:szCs w:val="32"/>
          <w:lang w:eastAsia="zh-CN"/>
        </w:rPr>
        <w:t>（四）广泛开展安全宣传“五进”活动，提升社会公众安全综合素质。</w:t>
      </w:r>
      <w:r>
        <w:rPr>
          <w:rFonts w:hint="eastAsia" w:ascii="仿宋_GB2312" w:hAnsi="仿宋_GB2312" w:eastAsia="仿宋_GB2312" w:cs="仿宋_GB2312"/>
          <w:color w:val="auto"/>
          <w:kern w:val="0"/>
          <w:sz w:val="32"/>
          <w:szCs w:val="32"/>
          <w:lang w:val="en-US" w:eastAsia="zh-CN" w:bidi="ar-SA"/>
        </w:rPr>
        <w:t>各乡镇办、各部门和单位要因地制宜、因时制宜，深入开展安全宣传“五进”活动。组织全区中小学生参加“暑期应急公开课”活动，学习应急自救、风险防范、生活安全、防灾避险等知识。举办应急管理局长防汛工作访谈活动，通过访谈让群众了解本地应急防汛工作、应急救援能力建设、应急响应、应急演练、防汛隐患排查整治等情况。认真组织参加第14届河南安全杯知识竞赛，并举办网上应急安全知识竞赛答题活动。区安委会办公室要发挥牵头抓总作用，组织安全监管人员、消防救援人员、灾害信息员、社区网格员、安全劝导员和志愿者等，积极参与“进门入户送安全”“安全志愿者在行动”和各类应急安全体验活动，共同推动安全宣传进企业、进农村、 进社区、进学校、进家庭，提升公众安全意识和应急处置能力。各乡镇办、各有关部门和单位结合地域或行业特色，组织开展多种形式、群众喜闻乐见的主题宣传活动，为“安全生产月”活动营造浓厚社会氛围。</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3" w:firstLineChars="200"/>
        <w:textAlignment w:val="auto"/>
        <w:rPr>
          <w:rFonts w:hint="eastAsia" w:ascii="仿宋_GB2312" w:hAnsi="仿宋_GB2312" w:eastAsia="仿宋_GB2312" w:cs="仿宋_GB2312"/>
          <w:color w:val="auto"/>
          <w:kern w:val="0"/>
          <w:sz w:val="32"/>
          <w:szCs w:val="32"/>
          <w:lang w:val="en-US" w:eastAsia="zh-CN" w:bidi="ar-SA"/>
        </w:rPr>
      </w:pPr>
      <w:r>
        <w:rPr>
          <w:rStyle w:val="14"/>
          <w:rFonts w:hint="eastAsia" w:ascii="楷体" w:hAnsi="楷体" w:eastAsia="楷体" w:cs="楷体"/>
          <w:b/>
          <w:i w:val="0"/>
          <w:caps w:val="0"/>
          <w:color w:val="auto"/>
          <w:spacing w:val="0"/>
          <w:sz w:val="32"/>
          <w:szCs w:val="32"/>
          <w:lang w:eastAsia="zh-CN"/>
        </w:rPr>
        <w:t>（五）坚持警钟长鸣，强化安全生产警示教育和应急演练。</w:t>
      </w:r>
      <w:r>
        <w:rPr>
          <w:rFonts w:hint="eastAsia" w:ascii="仿宋_GB2312" w:hAnsi="仿宋_GB2312" w:eastAsia="仿宋_GB2312" w:cs="仿宋_GB2312"/>
          <w:color w:val="auto"/>
          <w:kern w:val="0"/>
          <w:sz w:val="32"/>
          <w:szCs w:val="32"/>
          <w:lang w:val="en-US" w:eastAsia="zh-CN" w:bidi="ar-SA"/>
        </w:rPr>
        <w:t>“安全生产月”活动期间，各乡镇办、各有关部门和单位要积极组织播放警示教育片、安全警示微电影、参观事故警示教育展览、学习生产安全事故典型案例、开展反思大讨论等教育活动，以案说法，引导各类企业和广大职工深刻吸取事故教训，树牢安全发展理念，增强抓好安全生产的自觉性主动性。要围绕安全生产重点领域、重点行业、重点企业，深入开展以作业岗位为重点的应急处置演练；各地居民小区、学校、农村等要开展灾害避险逃生演练；人员密集场所加强应急预案管理，有针对性地开展应急疏散演练，切实提高应急救援能力，提升从业人员逃生自救能力和安全意识。积极开展线上线下“实战化”应急演练活动，并组织好观摩展示。</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right="0" w:rightChars="0" w:firstLine="643" w:firstLineChars="200"/>
        <w:textAlignment w:val="auto"/>
        <w:rPr>
          <w:rFonts w:hint="eastAsia" w:ascii="仿宋_GB2312" w:hAnsi="仿宋_GB2312" w:eastAsia="仿宋_GB2312" w:cs="仿宋_GB2312"/>
          <w:color w:val="auto"/>
          <w:kern w:val="0"/>
          <w:sz w:val="32"/>
          <w:szCs w:val="32"/>
          <w:lang w:val="en-US" w:eastAsia="zh-CN" w:bidi="ar-SA"/>
        </w:rPr>
      </w:pPr>
      <w:r>
        <w:rPr>
          <w:rStyle w:val="14"/>
          <w:rFonts w:hint="eastAsia" w:ascii="楷体" w:hAnsi="楷体" w:eastAsia="楷体" w:cs="楷体"/>
          <w:b/>
          <w:i w:val="0"/>
          <w:caps w:val="0"/>
          <w:color w:val="auto"/>
          <w:spacing w:val="0"/>
          <w:sz w:val="32"/>
          <w:szCs w:val="32"/>
          <w:lang w:eastAsia="zh-CN"/>
        </w:rPr>
        <w:t>（六）开展“安全生产中原行”活动，宣传基层基础安全生产成效经验。</w:t>
      </w:r>
      <w:r>
        <w:rPr>
          <w:rFonts w:hint="eastAsia" w:ascii="仿宋_GB2312" w:hAnsi="仿宋_GB2312" w:eastAsia="仿宋_GB2312" w:cs="仿宋_GB2312"/>
          <w:color w:val="auto"/>
          <w:kern w:val="0"/>
          <w:sz w:val="32"/>
          <w:szCs w:val="32"/>
          <w:lang w:val="en-US" w:eastAsia="zh-CN" w:bidi="ar-SA"/>
        </w:rPr>
        <w:t>今年6月至12月，组织参与“安全生产中原行”媒体采风专题行、区域行、网上行等活动，配合省、市、区主流媒体加强应急管理和安全生产领域内的新闻宣传，组织相关记者赴基层工作一线采访，宣传推广各地好的经验做法，畅通监督渠道。深化全区安全生产专项整治三年行动，围绕危险化学品、燃气安全“两个集中治理”，以及打击盗采矿产，查处建筑领域违法分包转包、自建房安全，强化水上交通事故追责，严查化工、矿山劳务派遣违规用工等，报道各地打非治违和排查治理进展成效。在当地主流媒体每月至少曝光一个典型案例，并向上级“安全生产月”活动组委会办公室报送，真正形成震慑。结合安全生产大检查、安全生产考核巡查、明查暗访，发挥媒体监督作用，集中曝光突出问题。</w:t>
      </w:r>
    </w:p>
    <w:p>
      <w:pPr>
        <w:keepNext w:val="0"/>
        <w:keepLines w:val="0"/>
        <w:pageBreakBefore w:val="0"/>
        <w:widowControl w:val="0"/>
        <w:kinsoku/>
        <w:wordWrap/>
        <w:overflowPunct/>
        <w:topLinePunct w:val="0"/>
        <w:autoSpaceDE/>
        <w:autoSpaceDN/>
        <w:bidi w:val="0"/>
        <w:adjustRightInd/>
        <w:snapToGrid/>
        <w:spacing w:before="0" w:after="0" w:line="556"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rPr>
      </w:pPr>
      <w:r>
        <w:rPr>
          <w:rStyle w:val="14"/>
          <w:rFonts w:hint="eastAsia" w:ascii="楷体" w:hAnsi="楷体" w:eastAsia="楷体" w:cs="楷体"/>
          <w:b w:val="0"/>
          <w:bCs/>
          <w:i w:val="0"/>
          <w:caps w:val="0"/>
          <w:color w:val="auto"/>
          <w:spacing w:val="0"/>
          <w:kern w:val="0"/>
          <w:sz w:val="32"/>
          <w:szCs w:val="32"/>
          <w:lang w:val="en-US" w:eastAsia="zh-CN" w:bidi="ar"/>
        </w:rPr>
        <w:t>（七）继续开展安全生产对话谈心活动。</w:t>
      </w:r>
      <w:r>
        <w:rPr>
          <w:rFonts w:hint="eastAsia" w:ascii="仿宋_GB2312" w:hAnsi="仿宋_GB2312" w:eastAsia="仿宋_GB2312" w:cs="仿宋_GB2312"/>
          <w:color w:val="auto"/>
          <w:kern w:val="0"/>
          <w:sz w:val="32"/>
          <w:szCs w:val="32"/>
        </w:rPr>
        <w:t>为推动</w:t>
      </w:r>
      <w:r>
        <w:rPr>
          <w:rFonts w:hint="eastAsia" w:ascii="仿宋_GB2312" w:hAnsi="仿宋_GB2312" w:eastAsia="仿宋_GB2312" w:cs="仿宋_GB2312"/>
          <w:color w:val="auto"/>
          <w:kern w:val="0"/>
          <w:sz w:val="32"/>
          <w:szCs w:val="32"/>
          <w:lang w:val="en-US" w:eastAsia="zh-CN"/>
        </w:rPr>
        <w:t>各行业领域企业（单位）</w:t>
      </w:r>
      <w:r>
        <w:rPr>
          <w:rFonts w:hint="eastAsia" w:ascii="仿宋_GB2312" w:hAnsi="仿宋_GB2312" w:eastAsia="仿宋_GB2312" w:cs="仿宋_GB2312"/>
          <w:color w:val="auto"/>
          <w:kern w:val="0"/>
          <w:sz w:val="32"/>
          <w:szCs w:val="32"/>
        </w:rPr>
        <w:t>牢固树立安全</w:t>
      </w:r>
      <w:r>
        <w:rPr>
          <w:rFonts w:hint="eastAsia" w:ascii="仿宋_GB2312" w:hAnsi="仿宋_GB2312" w:eastAsia="仿宋_GB2312" w:cs="仿宋_GB2312"/>
          <w:color w:val="auto"/>
          <w:kern w:val="0"/>
          <w:sz w:val="32"/>
          <w:szCs w:val="32"/>
          <w:lang w:eastAsia="zh-CN"/>
        </w:rPr>
        <w:t>发展理念</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切实</w:t>
      </w:r>
      <w:r>
        <w:rPr>
          <w:rFonts w:hint="eastAsia" w:ascii="仿宋_GB2312" w:hAnsi="仿宋_GB2312" w:eastAsia="仿宋_GB2312" w:cs="仿宋_GB2312"/>
          <w:color w:val="auto"/>
          <w:kern w:val="0"/>
          <w:sz w:val="32"/>
          <w:szCs w:val="32"/>
        </w:rPr>
        <w:t>履职尽</w:t>
      </w:r>
      <w:r>
        <w:rPr>
          <w:rFonts w:hint="eastAsia" w:ascii="仿宋_GB2312" w:hAnsi="仿宋_GB2312" w:eastAsia="仿宋_GB2312" w:cs="仿宋_GB2312"/>
          <w:color w:val="auto"/>
          <w:kern w:val="0"/>
          <w:sz w:val="32"/>
          <w:szCs w:val="32"/>
          <w:lang w:eastAsia="zh-CN"/>
        </w:rPr>
        <w:t>责</w:t>
      </w:r>
      <w:r>
        <w:rPr>
          <w:rFonts w:hint="eastAsia" w:ascii="仿宋_GB2312" w:hAnsi="仿宋_GB2312" w:eastAsia="仿宋_GB2312" w:cs="仿宋_GB2312"/>
          <w:color w:val="auto"/>
          <w:kern w:val="0"/>
          <w:sz w:val="32"/>
          <w:szCs w:val="32"/>
        </w:rPr>
        <w:t>做好安全生产工作，</w:t>
      </w:r>
      <w:r>
        <w:rPr>
          <w:rFonts w:hint="eastAsia" w:ascii="仿宋_GB2312" w:hAnsi="仿宋_GB2312" w:eastAsia="仿宋_GB2312" w:cs="仿宋_GB2312"/>
          <w:color w:val="auto"/>
          <w:kern w:val="0"/>
          <w:sz w:val="32"/>
          <w:szCs w:val="32"/>
          <w:lang w:val="en-US" w:eastAsia="zh-CN"/>
        </w:rPr>
        <w:t>在安全月活动期间，持续开展安全生产对话谈心活动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各级党政主要领导与班子成员、</w:t>
      </w:r>
      <w:r>
        <w:rPr>
          <w:rFonts w:hint="eastAsia" w:ascii="仿宋_GB2312" w:hAnsi="仿宋_GB2312" w:eastAsia="仿宋_GB2312" w:cs="仿宋_GB2312"/>
          <w:color w:val="auto"/>
          <w:kern w:val="0"/>
          <w:sz w:val="32"/>
          <w:szCs w:val="32"/>
          <w:lang w:val="en-US" w:eastAsia="zh-CN"/>
        </w:rPr>
        <w:t>下一级</w:t>
      </w:r>
      <w:r>
        <w:rPr>
          <w:rFonts w:hint="eastAsia" w:ascii="仿宋_GB2312" w:hAnsi="仿宋_GB2312" w:eastAsia="仿宋_GB2312" w:cs="仿宋_GB2312"/>
          <w:color w:val="auto"/>
          <w:kern w:val="0"/>
          <w:sz w:val="32"/>
          <w:szCs w:val="32"/>
        </w:rPr>
        <w:t>党政主要领导对话谈心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党政领导班子成员与分管部门主要负责人对话谈心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各有关部门主要负责人与本部门班子成员谈心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各有关部门班子成员与</w:t>
      </w:r>
      <w:r>
        <w:rPr>
          <w:rFonts w:hint="eastAsia" w:ascii="仿宋_GB2312" w:hAnsi="仿宋_GB2312" w:eastAsia="仿宋_GB2312" w:cs="仿宋_GB2312"/>
          <w:color w:val="auto"/>
          <w:kern w:val="0"/>
          <w:sz w:val="32"/>
          <w:szCs w:val="32"/>
          <w:lang w:eastAsia="zh-CN"/>
        </w:rPr>
        <w:t>分管</w:t>
      </w:r>
      <w:r>
        <w:rPr>
          <w:rFonts w:hint="eastAsia" w:ascii="仿宋_GB2312" w:hAnsi="仿宋_GB2312" w:eastAsia="仿宋_GB2312" w:cs="仿宋_GB2312"/>
          <w:color w:val="auto"/>
          <w:kern w:val="0"/>
          <w:sz w:val="32"/>
          <w:szCs w:val="32"/>
        </w:rPr>
        <w:t>行业领域企业负责人谈心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企业主要负责人与</w:t>
      </w:r>
      <w:r>
        <w:rPr>
          <w:rFonts w:hint="eastAsia" w:ascii="仿宋_GB2312" w:hAnsi="仿宋_GB2312" w:eastAsia="仿宋_GB2312" w:cs="仿宋_GB2312"/>
          <w:color w:val="auto"/>
          <w:kern w:val="0"/>
          <w:sz w:val="32"/>
          <w:szCs w:val="32"/>
          <w:lang w:val="en-US" w:eastAsia="zh-CN"/>
        </w:rPr>
        <w:t>本单位班子成员、中层领导</w:t>
      </w:r>
      <w:r>
        <w:rPr>
          <w:rFonts w:hint="eastAsia" w:ascii="仿宋_GB2312" w:hAnsi="仿宋_GB2312" w:eastAsia="仿宋_GB2312" w:cs="仿宋_GB2312"/>
          <w:color w:val="auto"/>
          <w:kern w:val="0"/>
          <w:sz w:val="32"/>
          <w:szCs w:val="32"/>
        </w:rPr>
        <w:t>谈心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学习习近平总书记关于安全生产重要论述，强化</w:t>
      </w:r>
      <w:r>
        <w:rPr>
          <w:rFonts w:hint="eastAsia" w:ascii="仿宋_GB2312" w:hAnsi="仿宋_GB2312" w:eastAsia="仿宋_GB2312" w:cs="仿宋_GB2312"/>
          <w:color w:val="auto"/>
          <w:kern w:val="0"/>
          <w:sz w:val="32"/>
          <w:szCs w:val="32"/>
          <w:lang w:eastAsia="zh-CN"/>
        </w:rPr>
        <w:t>安全生产领导责任、行业监管责任、企业主体责任</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56" w:lineRule="exact"/>
        <w:ind w:firstLine="645"/>
        <w:textAlignment w:val="auto"/>
        <w:rPr>
          <w:rFonts w:ascii="黑体" w:hAnsi="黑体" w:eastAsia="黑体"/>
          <w:bCs/>
          <w:color w:val="auto"/>
          <w:sz w:val="32"/>
          <w:szCs w:val="32"/>
        </w:rPr>
      </w:pPr>
      <w:r>
        <w:rPr>
          <w:rFonts w:hint="eastAsia" w:ascii="黑体" w:hAnsi="黑体" w:eastAsia="黑体"/>
          <w:bCs/>
          <w:color w:val="auto"/>
          <w:sz w:val="32"/>
          <w:szCs w:val="32"/>
          <w:lang w:eastAsia="zh-CN"/>
        </w:rPr>
        <w:t>三</w:t>
      </w:r>
      <w:r>
        <w:rPr>
          <w:rFonts w:hint="eastAsia" w:ascii="黑体" w:hAnsi="黑体" w:eastAsia="黑体"/>
          <w:bCs/>
          <w:color w:val="auto"/>
          <w:sz w:val="32"/>
          <w:szCs w:val="32"/>
        </w:rPr>
        <w:t>、工作要求</w:t>
      </w:r>
    </w:p>
    <w:p>
      <w:pPr>
        <w:keepNext w:val="0"/>
        <w:keepLines w:val="0"/>
        <w:pageBreakBefore w:val="0"/>
        <w:widowControl w:val="0"/>
        <w:kinsoku/>
        <w:wordWrap/>
        <w:overflowPunct/>
        <w:topLinePunct w:val="0"/>
        <w:autoSpaceDE/>
        <w:autoSpaceDN/>
        <w:bidi w:val="0"/>
        <w:adjustRightInd/>
        <w:snapToGrid/>
        <w:spacing w:before="0" w:after="0" w:line="556" w:lineRule="exact"/>
        <w:ind w:left="0" w:leftChars="0" w:right="0" w:rightChars="0" w:firstLine="640" w:firstLineChars="200"/>
        <w:textAlignment w:val="auto"/>
        <w:outlineLvl w:val="9"/>
        <w:rPr>
          <w:rFonts w:hint="default"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sz w:val="32"/>
          <w:szCs w:val="32"/>
          <w:lang w:val="en-US" w:eastAsia="zh-CN"/>
        </w:rPr>
        <w:t>（一）强化组织领导。</w:t>
      </w:r>
      <w:r>
        <w:rPr>
          <w:rFonts w:hint="eastAsia" w:ascii="仿宋_GB2312" w:hAnsi="仿宋_GB2312" w:eastAsia="仿宋_GB2312" w:cs="仿宋_GB2312"/>
          <w:color w:val="auto"/>
          <w:kern w:val="0"/>
          <w:sz w:val="32"/>
          <w:szCs w:val="32"/>
          <w:lang w:val="en-US" w:eastAsia="zh-CN"/>
        </w:rPr>
        <w:t>区</w:t>
      </w:r>
      <w:r>
        <w:rPr>
          <w:rFonts w:hint="default" w:ascii="仿宋_GB2312" w:hAnsi="仿宋_GB2312" w:eastAsia="仿宋_GB2312" w:cs="仿宋_GB2312"/>
          <w:color w:val="auto"/>
          <w:kern w:val="0"/>
          <w:sz w:val="32"/>
          <w:szCs w:val="32"/>
          <w:lang w:val="en-US" w:eastAsia="zh-CN"/>
        </w:rPr>
        <w:t>安委会</w:t>
      </w:r>
      <w:r>
        <w:rPr>
          <w:rFonts w:hint="eastAsia" w:ascii="仿宋_GB2312" w:hAnsi="仿宋_GB2312" w:eastAsia="仿宋_GB2312" w:cs="仿宋_GB2312"/>
          <w:color w:val="auto"/>
          <w:kern w:val="0"/>
          <w:sz w:val="32"/>
          <w:szCs w:val="32"/>
          <w:lang w:val="en-US" w:eastAsia="zh-CN"/>
        </w:rPr>
        <w:t>办公室</w:t>
      </w:r>
      <w:r>
        <w:rPr>
          <w:rFonts w:hint="default" w:ascii="仿宋_GB2312" w:hAnsi="仿宋_GB2312" w:eastAsia="仿宋_GB2312" w:cs="仿宋_GB2312"/>
          <w:color w:val="auto"/>
          <w:kern w:val="0"/>
          <w:sz w:val="32"/>
          <w:szCs w:val="32"/>
          <w:lang w:val="en-US" w:eastAsia="zh-CN"/>
        </w:rPr>
        <w:t>成立</w:t>
      </w:r>
      <w:r>
        <w:rPr>
          <w:rFonts w:hint="eastAsia" w:ascii="仿宋_GB2312" w:hAnsi="仿宋_GB2312" w:eastAsia="仿宋_GB2312" w:cs="仿宋_GB2312"/>
          <w:color w:val="auto"/>
          <w:kern w:val="0"/>
          <w:sz w:val="32"/>
          <w:szCs w:val="32"/>
          <w:lang w:val="en-US" w:eastAsia="zh-CN"/>
        </w:rPr>
        <w:t>由区</w:t>
      </w:r>
      <w:r>
        <w:rPr>
          <w:rFonts w:hint="default" w:ascii="仿宋_GB2312" w:hAnsi="仿宋_GB2312" w:eastAsia="仿宋_GB2312" w:cs="仿宋_GB2312"/>
          <w:color w:val="auto"/>
          <w:kern w:val="0"/>
          <w:sz w:val="32"/>
          <w:szCs w:val="32"/>
          <w:lang w:val="en-US" w:eastAsia="zh-CN"/>
        </w:rPr>
        <w:t>委宣传部、</w:t>
      </w:r>
      <w:r>
        <w:rPr>
          <w:rFonts w:hint="eastAsia" w:ascii="仿宋_GB2312" w:hAnsi="仿宋_GB2312" w:eastAsia="仿宋_GB2312" w:cs="仿宋_GB2312"/>
          <w:color w:val="auto"/>
          <w:kern w:val="0"/>
          <w:sz w:val="32"/>
          <w:szCs w:val="32"/>
          <w:lang w:val="en-US" w:eastAsia="zh-CN"/>
        </w:rPr>
        <w:t>区</w:t>
      </w:r>
      <w:r>
        <w:rPr>
          <w:rFonts w:hint="default" w:ascii="仿宋_GB2312" w:hAnsi="仿宋_GB2312" w:eastAsia="仿宋_GB2312" w:cs="仿宋_GB2312"/>
          <w:color w:val="auto"/>
          <w:kern w:val="0"/>
          <w:sz w:val="32"/>
          <w:szCs w:val="32"/>
          <w:lang w:val="en-US" w:eastAsia="zh-CN"/>
        </w:rPr>
        <w:t>教育局、</w:t>
      </w:r>
      <w:r>
        <w:rPr>
          <w:rFonts w:hint="eastAsia" w:ascii="仿宋_GB2312" w:hAnsi="仿宋_GB2312" w:eastAsia="仿宋_GB2312" w:cs="仿宋_GB2312"/>
          <w:color w:val="auto"/>
          <w:kern w:val="0"/>
          <w:sz w:val="32"/>
          <w:szCs w:val="32"/>
          <w:lang w:val="en-US" w:eastAsia="zh-CN"/>
        </w:rPr>
        <w:t>区</w:t>
      </w:r>
      <w:r>
        <w:rPr>
          <w:rFonts w:hint="default" w:ascii="仿宋_GB2312" w:hAnsi="仿宋_GB2312" w:eastAsia="仿宋_GB2312" w:cs="仿宋_GB2312"/>
          <w:color w:val="auto"/>
          <w:kern w:val="0"/>
          <w:sz w:val="32"/>
          <w:szCs w:val="32"/>
          <w:lang w:val="en-US" w:eastAsia="zh-CN"/>
        </w:rPr>
        <w:t>公安局、</w:t>
      </w:r>
      <w:r>
        <w:rPr>
          <w:rFonts w:hint="eastAsia" w:ascii="仿宋_GB2312" w:hAnsi="仿宋_GB2312" w:eastAsia="仿宋_GB2312" w:cs="仿宋_GB2312"/>
          <w:color w:val="auto"/>
          <w:kern w:val="0"/>
          <w:sz w:val="32"/>
          <w:szCs w:val="32"/>
          <w:lang w:val="en-US" w:eastAsia="zh-CN"/>
        </w:rPr>
        <w:t>区</w:t>
      </w:r>
      <w:r>
        <w:rPr>
          <w:rFonts w:hint="default" w:ascii="仿宋_GB2312" w:hAnsi="仿宋_GB2312" w:eastAsia="仿宋_GB2312" w:cs="仿宋_GB2312"/>
          <w:color w:val="auto"/>
          <w:kern w:val="0"/>
          <w:sz w:val="32"/>
          <w:szCs w:val="32"/>
          <w:lang w:val="en-US" w:eastAsia="zh-CN"/>
        </w:rPr>
        <w:t>住房和城乡建设局、</w:t>
      </w:r>
      <w:r>
        <w:rPr>
          <w:rFonts w:hint="eastAsia" w:ascii="仿宋_GB2312" w:hAnsi="仿宋_GB2312" w:eastAsia="仿宋_GB2312" w:cs="仿宋_GB2312"/>
          <w:color w:val="auto"/>
          <w:kern w:val="0"/>
          <w:sz w:val="32"/>
          <w:szCs w:val="32"/>
          <w:lang w:val="en-US" w:eastAsia="zh-CN"/>
        </w:rPr>
        <w:t>区</w:t>
      </w:r>
      <w:r>
        <w:rPr>
          <w:rFonts w:hint="default" w:ascii="仿宋_GB2312" w:hAnsi="仿宋_GB2312" w:eastAsia="仿宋_GB2312" w:cs="仿宋_GB2312"/>
          <w:color w:val="auto"/>
          <w:kern w:val="0"/>
          <w:sz w:val="32"/>
          <w:szCs w:val="32"/>
          <w:lang w:val="en-US" w:eastAsia="zh-CN"/>
        </w:rPr>
        <w:t>交通运输局、</w:t>
      </w:r>
      <w:r>
        <w:rPr>
          <w:rFonts w:hint="eastAsia" w:ascii="仿宋_GB2312" w:hAnsi="仿宋_GB2312" w:eastAsia="仿宋_GB2312" w:cs="仿宋_GB2312"/>
          <w:color w:val="auto"/>
          <w:kern w:val="0"/>
          <w:sz w:val="32"/>
          <w:szCs w:val="32"/>
          <w:lang w:val="en-US" w:eastAsia="zh-CN"/>
        </w:rPr>
        <w:t>区</w:t>
      </w:r>
      <w:r>
        <w:rPr>
          <w:rFonts w:hint="default" w:ascii="仿宋_GB2312" w:hAnsi="仿宋_GB2312" w:eastAsia="仿宋_GB2312" w:cs="仿宋_GB2312"/>
          <w:color w:val="auto"/>
          <w:kern w:val="0"/>
          <w:sz w:val="32"/>
          <w:szCs w:val="32"/>
          <w:lang w:val="en-US" w:eastAsia="zh-CN"/>
        </w:rPr>
        <w:t>文化</w:t>
      </w:r>
      <w:r>
        <w:rPr>
          <w:rFonts w:hint="eastAsia" w:ascii="仿宋_GB2312" w:hAnsi="仿宋_GB2312" w:eastAsia="仿宋_GB2312" w:cs="仿宋_GB2312"/>
          <w:color w:val="auto"/>
          <w:kern w:val="0"/>
          <w:sz w:val="32"/>
          <w:szCs w:val="32"/>
          <w:lang w:val="en-US" w:eastAsia="zh-CN"/>
        </w:rPr>
        <w:t>广电和旅游</w:t>
      </w:r>
      <w:r>
        <w:rPr>
          <w:rFonts w:hint="default" w:ascii="仿宋_GB2312" w:hAnsi="仿宋_GB2312" w:eastAsia="仿宋_GB2312" w:cs="仿宋_GB2312"/>
          <w:color w:val="auto"/>
          <w:kern w:val="0"/>
          <w:sz w:val="32"/>
          <w:szCs w:val="32"/>
          <w:lang w:val="en-US" w:eastAsia="zh-CN"/>
        </w:rPr>
        <w:t>局、</w:t>
      </w:r>
      <w:r>
        <w:rPr>
          <w:rFonts w:hint="eastAsia" w:ascii="仿宋_GB2312" w:hAnsi="仿宋_GB2312" w:eastAsia="仿宋_GB2312" w:cs="仿宋_GB2312"/>
          <w:color w:val="auto"/>
          <w:kern w:val="0"/>
          <w:sz w:val="32"/>
          <w:szCs w:val="32"/>
          <w:lang w:val="en-US" w:eastAsia="zh-CN"/>
        </w:rPr>
        <w:t>区应急管理局</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区</w:t>
      </w:r>
      <w:r>
        <w:rPr>
          <w:rFonts w:hint="default" w:ascii="仿宋_GB2312" w:hAnsi="仿宋_GB2312" w:eastAsia="仿宋_GB2312" w:cs="仿宋_GB2312"/>
          <w:color w:val="auto"/>
          <w:kern w:val="0"/>
          <w:sz w:val="32"/>
          <w:szCs w:val="32"/>
          <w:lang w:val="en-US" w:eastAsia="zh-CN"/>
        </w:rPr>
        <w:t>总工会共同组成的活动组委会，组委会办公室设在</w:t>
      </w:r>
      <w:r>
        <w:rPr>
          <w:rFonts w:hint="eastAsia" w:ascii="仿宋_GB2312" w:hAnsi="仿宋_GB2312" w:eastAsia="仿宋_GB2312" w:cs="仿宋_GB2312"/>
          <w:color w:val="auto"/>
          <w:kern w:val="0"/>
          <w:sz w:val="32"/>
          <w:szCs w:val="32"/>
          <w:lang w:val="en-US" w:eastAsia="zh-CN"/>
        </w:rPr>
        <w:t>区</w:t>
      </w:r>
      <w:r>
        <w:rPr>
          <w:rFonts w:hint="default" w:ascii="仿宋_GB2312" w:hAnsi="仿宋_GB2312" w:eastAsia="仿宋_GB2312" w:cs="仿宋_GB2312"/>
          <w:color w:val="auto"/>
          <w:kern w:val="0"/>
          <w:sz w:val="32"/>
          <w:szCs w:val="32"/>
          <w:lang w:val="en-US" w:eastAsia="zh-CN"/>
        </w:rPr>
        <w:t>安委会办公室。</w:t>
      </w:r>
      <w:r>
        <w:rPr>
          <w:rFonts w:hint="eastAsia" w:ascii="仿宋_GB2312" w:hAnsi="仿宋_GB2312" w:eastAsia="仿宋_GB2312" w:cs="仿宋_GB2312"/>
          <w:color w:val="auto"/>
          <w:kern w:val="0"/>
          <w:sz w:val="32"/>
          <w:szCs w:val="32"/>
          <w:lang w:val="en-US" w:eastAsia="zh-CN"/>
        </w:rPr>
        <w:t>区</w:t>
      </w:r>
      <w:r>
        <w:rPr>
          <w:rFonts w:hint="default" w:ascii="仿宋_GB2312" w:hAnsi="仿宋_GB2312" w:eastAsia="仿宋_GB2312" w:cs="仿宋_GB2312"/>
          <w:color w:val="auto"/>
          <w:kern w:val="0"/>
          <w:sz w:val="32"/>
          <w:szCs w:val="32"/>
          <w:lang w:val="en-US" w:eastAsia="zh-CN"/>
        </w:rPr>
        <w:t>组委会办公室</w:t>
      </w:r>
      <w:r>
        <w:rPr>
          <w:rFonts w:hint="eastAsia" w:ascii="仿宋_GB2312" w:hAnsi="仿宋_GB2312" w:eastAsia="仿宋_GB2312" w:cs="仿宋_GB2312"/>
          <w:color w:val="auto"/>
          <w:kern w:val="0"/>
          <w:sz w:val="32"/>
          <w:szCs w:val="32"/>
          <w:lang w:val="en-US" w:eastAsia="zh-CN"/>
        </w:rPr>
        <w:t>对</w:t>
      </w:r>
      <w:r>
        <w:rPr>
          <w:rFonts w:hint="default" w:ascii="仿宋_GB2312" w:hAnsi="仿宋_GB2312" w:eastAsia="仿宋_GB2312" w:cs="仿宋_GB2312"/>
          <w:color w:val="auto"/>
          <w:kern w:val="0"/>
          <w:sz w:val="32"/>
          <w:szCs w:val="32"/>
          <w:lang w:val="en-US" w:eastAsia="zh-CN"/>
        </w:rPr>
        <w:t>各</w:t>
      </w:r>
      <w:r>
        <w:rPr>
          <w:rFonts w:hint="eastAsia" w:ascii="仿宋_GB2312" w:hAnsi="仿宋_GB2312" w:eastAsia="仿宋_GB2312" w:cs="仿宋_GB2312"/>
          <w:color w:val="auto"/>
          <w:kern w:val="0"/>
          <w:sz w:val="32"/>
          <w:szCs w:val="32"/>
          <w:lang w:eastAsia="zh-CN"/>
        </w:rPr>
        <w:t>乡镇办、各有关部门和单位</w:t>
      </w:r>
      <w:r>
        <w:rPr>
          <w:rFonts w:hint="eastAsia" w:ascii="仿宋_GB2312" w:hAnsi="仿宋_GB2312" w:eastAsia="仿宋_GB2312" w:cs="仿宋_GB2312"/>
          <w:color w:val="auto"/>
          <w:kern w:val="0"/>
          <w:sz w:val="32"/>
          <w:szCs w:val="32"/>
          <w:lang w:val="en-US" w:eastAsia="zh-CN"/>
        </w:rPr>
        <w:t>安全生产月活动开展情况进行适时督促。</w:t>
      </w:r>
      <w:r>
        <w:rPr>
          <w:rFonts w:hint="eastAsia" w:ascii="仿宋_GB2312" w:hAnsi="仿宋_GB2312" w:eastAsia="仿宋_GB2312" w:cs="仿宋_GB2312"/>
          <w:color w:val="auto"/>
          <w:kern w:val="0"/>
          <w:sz w:val="32"/>
          <w:szCs w:val="32"/>
          <w:lang w:eastAsia="zh-CN"/>
        </w:rPr>
        <w:t>各乡镇办、各有关部门和单位</w:t>
      </w:r>
      <w:r>
        <w:rPr>
          <w:rFonts w:hint="eastAsia" w:ascii="仿宋_GB2312" w:hAnsi="仿宋_GB2312" w:eastAsia="仿宋_GB2312" w:cs="仿宋_GB2312"/>
          <w:color w:val="auto"/>
          <w:kern w:val="0"/>
          <w:sz w:val="32"/>
          <w:szCs w:val="32"/>
          <w:lang w:val="en-US" w:eastAsia="zh-CN"/>
        </w:rPr>
        <w:t>要把“安全生产月”宣传活动</w:t>
      </w:r>
      <w:r>
        <w:rPr>
          <w:rFonts w:hint="default" w:ascii="仿宋_GB2312" w:hAnsi="仿宋_GB2312" w:eastAsia="仿宋_GB2312" w:cs="仿宋_GB2312"/>
          <w:color w:val="auto"/>
          <w:kern w:val="0"/>
          <w:sz w:val="32"/>
          <w:szCs w:val="32"/>
          <w:lang w:val="en-US" w:eastAsia="zh-CN"/>
        </w:rPr>
        <w:t>作为践行习近平总书记关于安全生产重要论述的一项重要举措来推进落实</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制定切实可行的活动方案，明确责任分工，严格责任落实</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要把安全生产月活动和安全生产三年</w:t>
      </w:r>
      <w:r>
        <w:rPr>
          <w:rFonts w:hint="eastAsia" w:ascii="仿宋_GB2312" w:hAnsi="仿宋_GB2312" w:eastAsia="仿宋_GB2312" w:cs="仿宋_GB2312"/>
          <w:color w:val="auto"/>
          <w:kern w:val="0"/>
          <w:sz w:val="32"/>
          <w:szCs w:val="32"/>
          <w:lang w:val="en-US" w:eastAsia="zh-CN"/>
        </w:rPr>
        <w:t>专项</w:t>
      </w:r>
      <w:r>
        <w:rPr>
          <w:rFonts w:hint="default" w:ascii="仿宋_GB2312" w:hAnsi="仿宋_GB2312" w:eastAsia="仿宋_GB2312" w:cs="仿宋_GB2312"/>
          <w:color w:val="auto"/>
          <w:kern w:val="0"/>
          <w:sz w:val="32"/>
          <w:szCs w:val="32"/>
          <w:lang w:val="en-US" w:eastAsia="zh-CN"/>
        </w:rPr>
        <w:t>整治</w:t>
      </w:r>
      <w:r>
        <w:rPr>
          <w:rFonts w:hint="eastAsia" w:ascii="仿宋_GB2312" w:hAnsi="仿宋_GB2312" w:eastAsia="仿宋_GB2312" w:cs="仿宋_GB2312"/>
          <w:color w:val="auto"/>
          <w:kern w:val="0"/>
          <w:sz w:val="32"/>
          <w:szCs w:val="32"/>
          <w:lang w:val="en-US" w:eastAsia="zh-CN"/>
        </w:rPr>
        <w:t>攻坚行动</w:t>
      </w:r>
      <w:r>
        <w:rPr>
          <w:rFonts w:hint="default" w:ascii="仿宋_GB2312" w:hAnsi="仿宋_GB2312" w:eastAsia="仿宋_GB2312" w:cs="仿宋_GB2312"/>
          <w:color w:val="auto"/>
          <w:kern w:val="0"/>
          <w:sz w:val="32"/>
          <w:szCs w:val="32"/>
          <w:lang w:val="en-US" w:eastAsia="zh-CN"/>
        </w:rPr>
        <w:t>密切结合,积极谋划疫情防控常态化情况下做好安全生产宣传工作的思路和办法,细化任务,压实责任,扎实推进,确保活动有力有序有效开展</w:t>
      </w:r>
      <w:r>
        <w:rPr>
          <w:rFonts w:hint="eastAsia" w:ascii="仿宋_GB2312" w:hAnsi="仿宋_GB2312" w:eastAsia="仿宋_GB2312" w:cs="仿宋_GB2312"/>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color w:val="auto"/>
          <w:sz w:val="32"/>
          <w:szCs w:val="32"/>
        </w:rPr>
        <w:t>（二）加大宣传力度。</w:t>
      </w:r>
      <w:r>
        <w:rPr>
          <w:rFonts w:hint="eastAsia" w:ascii="仿宋_GB2312" w:hAnsi="仿宋_GB2312" w:eastAsia="仿宋_GB2312" w:cs="仿宋_GB2312"/>
          <w:color w:val="auto"/>
          <w:kern w:val="0"/>
          <w:sz w:val="32"/>
          <w:szCs w:val="32"/>
          <w:lang w:eastAsia="zh-CN"/>
        </w:rPr>
        <w:t>各乡镇办、各有关部门和单位</w:t>
      </w:r>
      <w:r>
        <w:rPr>
          <w:rFonts w:hint="eastAsia" w:ascii="仿宋_GB2312" w:hAnsi="仿宋_GB2312" w:eastAsia="仿宋_GB2312" w:cs="仿宋_GB2312"/>
          <w:color w:val="auto"/>
          <w:kern w:val="0"/>
          <w:sz w:val="32"/>
          <w:szCs w:val="32"/>
        </w:rPr>
        <w:t>要充分发挥各级各类媒体、网站、双微等平台作用，全方位对“安全生产月”系列活动进行宣传，要拓展社会面宣传渠道，在交通枢纽、商业街区、城市社区、文博场馆、广场、公园等公共场所和高速路口、过街天桥等醒目位置，广泛张贴或悬挂安全标语、横幅、挂图等，在交通工具电子显示屏、楼宇广告屏持续滚动播放安全公益广告等，在全社会积极营造关心安全生产、参与安全发展的浓厚舆论氛围。</w:t>
      </w:r>
    </w:p>
    <w:p>
      <w:pPr>
        <w:keepNext w:val="0"/>
        <w:keepLines w:val="0"/>
        <w:pageBreakBefore w:val="0"/>
        <w:widowControl w:val="0"/>
        <w:kinsoku/>
        <w:wordWrap/>
        <w:overflowPunct/>
        <w:topLinePunct w:val="0"/>
        <w:autoSpaceDE/>
        <w:autoSpaceDN/>
        <w:bidi w:val="0"/>
        <w:adjustRightInd/>
        <w:snapToGrid/>
        <w:spacing w:before="0" w:line="556"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sz w:val="32"/>
          <w:szCs w:val="32"/>
          <w:lang w:val="en-US" w:eastAsia="zh-CN"/>
        </w:rPr>
        <w:t>（三）注重活动实效。</w:t>
      </w:r>
      <w:r>
        <w:rPr>
          <w:rFonts w:hint="eastAsia" w:ascii="仿宋_GB2312" w:hAnsi="仿宋_GB2312" w:eastAsia="仿宋_GB2312" w:cs="仿宋_GB2312"/>
          <w:color w:val="auto"/>
          <w:kern w:val="0"/>
          <w:sz w:val="32"/>
          <w:szCs w:val="32"/>
          <w:lang w:eastAsia="zh-CN"/>
        </w:rPr>
        <w:t>各乡镇办、各有关部门和单位</w:t>
      </w:r>
      <w:r>
        <w:rPr>
          <w:rFonts w:hint="eastAsia" w:ascii="仿宋_GB2312" w:hAnsi="仿宋_GB2312" w:eastAsia="仿宋_GB2312" w:cs="仿宋_GB2312"/>
          <w:color w:val="auto"/>
          <w:kern w:val="0"/>
          <w:sz w:val="32"/>
          <w:szCs w:val="32"/>
          <w:lang w:val="en-US" w:eastAsia="zh-CN"/>
        </w:rPr>
        <w:t>要把“安全生产月”各项活动与解决当前安全发展、安全生产中的热点难点问题相结合，与精准落实常态化疫情防控、安全生产专项整治等各项工作相结合，与推动落实各方面安全生产责任相结合，突出重点行业领域和重点单位，着力解决重点难点问题，防止搞形式主义、走过场，因地制宜开展好各项活动，切实达到以活动促工作、以活动保安全的目的，推动安全生产水平提升和安全生产形势持续稳定向好。本次活动开展情况将纳入全区安全生产年度工作考核。</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各乡镇办、各有关部门和单位</w:t>
      </w:r>
      <w:r>
        <w:rPr>
          <w:rFonts w:hint="eastAsia" w:ascii="仿宋_GB2312" w:hAnsi="仿宋_GB2312" w:eastAsia="仿宋_GB2312" w:cs="仿宋_GB2312"/>
          <w:color w:val="auto"/>
          <w:kern w:val="0"/>
          <w:sz w:val="32"/>
          <w:szCs w:val="32"/>
          <w:lang w:val="en-US" w:eastAsia="zh-CN"/>
        </w:rPr>
        <w:t>于6月1日前确定1名联络员，及时提供活动期间好的做法、特色项目、重要事项以及视频、图片、文字等电子版资料。请并于6</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30</w:t>
      </w:r>
      <w:r>
        <w:rPr>
          <w:rFonts w:hint="eastAsia" w:ascii="仿宋_GB2312" w:hAnsi="仿宋_GB2312" w:eastAsia="仿宋_GB2312" w:cs="仿宋_GB2312"/>
          <w:color w:val="auto"/>
          <w:kern w:val="0"/>
          <w:sz w:val="32"/>
          <w:szCs w:val="32"/>
        </w:rPr>
        <w:t>日前</w:t>
      </w:r>
      <w:r>
        <w:rPr>
          <w:rFonts w:hint="eastAsia" w:ascii="仿宋_GB2312" w:hAnsi="仿宋_GB2312" w:eastAsia="仿宋_GB2312" w:cs="仿宋_GB2312"/>
          <w:color w:val="auto"/>
          <w:kern w:val="0"/>
          <w:sz w:val="32"/>
          <w:szCs w:val="32"/>
          <w:lang w:eastAsia="zh-CN"/>
        </w:rPr>
        <w:t>向</w:t>
      </w:r>
      <w:r>
        <w:rPr>
          <w:rFonts w:hint="eastAsia" w:ascii="仿宋_GB2312" w:hAnsi="仿宋_GB2312" w:eastAsia="仿宋_GB2312" w:cs="仿宋_GB2312"/>
          <w:color w:val="auto"/>
          <w:kern w:val="0"/>
          <w:sz w:val="32"/>
          <w:szCs w:val="32"/>
          <w:lang w:val="en-US" w:eastAsia="zh-CN"/>
        </w:rPr>
        <w:t>区</w:t>
      </w:r>
      <w:r>
        <w:rPr>
          <w:rFonts w:hint="eastAsia" w:ascii="仿宋_GB2312" w:hAnsi="仿宋_GB2312" w:eastAsia="仿宋_GB2312" w:cs="仿宋_GB2312"/>
          <w:color w:val="auto"/>
          <w:kern w:val="0"/>
          <w:sz w:val="32"/>
          <w:szCs w:val="32"/>
          <w:lang w:eastAsia="zh-CN"/>
        </w:rPr>
        <w:t>安委会办公室</w:t>
      </w:r>
      <w:r>
        <w:rPr>
          <w:rFonts w:hint="eastAsia" w:ascii="仿宋_GB2312" w:hAnsi="仿宋_GB2312" w:eastAsia="仿宋_GB2312" w:cs="仿宋_GB2312"/>
          <w:color w:val="auto"/>
          <w:kern w:val="0"/>
          <w:sz w:val="32"/>
          <w:szCs w:val="32"/>
        </w:rPr>
        <w:t>报送</w:t>
      </w:r>
      <w:r>
        <w:rPr>
          <w:rFonts w:hint="eastAsia" w:ascii="仿宋_GB2312" w:hAnsi="仿宋_GB2312" w:eastAsia="仿宋_GB2312" w:cs="仿宋_GB2312"/>
          <w:color w:val="auto"/>
          <w:kern w:val="0"/>
          <w:sz w:val="32"/>
          <w:szCs w:val="32"/>
          <w:lang w:eastAsia="zh-CN"/>
        </w:rPr>
        <w:t>开展本地本部门本单位</w:t>
      </w:r>
      <w:r>
        <w:rPr>
          <w:rFonts w:hint="eastAsia" w:ascii="仿宋_GB2312" w:hAnsi="仿宋_GB2312" w:eastAsia="仿宋_GB2312" w:cs="仿宋_GB2312"/>
          <w:color w:val="auto"/>
          <w:kern w:val="0"/>
          <w:sz w:val="32"/>
          <w:szCs w:val="32"/>
          <w:lang w:val="en-US" w:eastAsia="zh-CN"/>
        </w:rPr>
        <w:t>活动总结报告</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联系人：</w:t>
      </w:r>
      <w:r>
        <w:rPr>
          <w:rFonts w:hint="eastAsia" w:ascii="仿宋_GB2312" w:hAnsi="仿宋_GB2312" w:eastAsia="仿宋_GB2312" w:cs="仿宋_GB2312"/>
          <w:color w:val="auto"/>
          <w:kern w:val="0"/>
          <w:sz w:val="32"/>
          <w:szCs w:val="32"/>
          <w:lang w:val="en-US" w:eastAsia="zh-CN"/>
        </w:rPr>
        <w:t>周利航</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联系电话：</w:t>
      </w:r>
      <w:r>
        <w:rPr>
          <w:rFonts w:hint="default" w:ascii="仿宋_GB2312" w:hAnsi="仿宋_GB2312" w:eastAsia="仿宋_GB2312" w:cs="仿宋_GB2312"/>
          <w:color w:val="auto"/>
          <w:kern w:val="0"/>
          <w:sz w:val="32"/>
          <w:szCs w:val="32"/>
          <w:lang w:val="en-US" w:eastAsia="zh-CN"/>
        </w:rPr>
        <w:t>037</w:t>
      </w: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 xml:space="preserve">7375557   </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 w:hAnsi="仿宋" w:eastAsia="仿宋" w:cs="仿宋"/>
          <w:color w:val="auto"/>
          <w:sz w:val="32"/>
          <w:szCs w:val="32"/>
          <w:lang w:val="en-US" w:eastAsia="zh-CN"/>
        </w:rPr>
      </w:pPr>
      <w:r>
        <w:rPr>
          <w:rFonts w:hint="default" w:ascii="仿宋_GB2312" w:hAnsi="仿宋_GB2312" w:eastAsia="仿宋_GB2312" w:cs="仿宋_GB2312"/>
          <w:color w:val="auto"/>
          <w:kern w:val="0"/>
          <w:sz w:val="32"/>
          <w:szCs w:val="32"/>
          <w:lang w:val="en-US" w:eastAsia="zh-CN"/>
        </w:rPr>
        <w:t>邮箱：</w:t>
      </w:r>
      <w:r>
        <w:rPr>
          <w:rFonts w:hint="eastAsia" w:ascii="仿宋_GB2312" w:hAnsi="仿宋_GB2312" w:eastAsia="仿宋_GB2312" w:cs="仿宋_GB2312"/>
          <w:color w:val="auto"/>
          <w:kern w:val="0"/>
          <w:sz w:val="32"/>
          <w:szCs w:val="32"/>
          <w:lang w:val="en-US" w:eastAsia="zh-CN"/>
        </w:rPr>
        <w:t xml:space="preserve">1548965649@qq.com </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56" w:lineRule="exact"/>
        <w:ind w:left="0" w:leftChars="0" w:right="0" w:rightChars="0" w:firstLine="645"/>
        <w:textAlignment w:val="auto"/>
        <w:outlineLvl w:val="9"/>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56" w:lineRule="exact"/>
        <w:ind w:left="0" w:leftChars="0" w:right="0" w:rightChars="0" w:firstLine="645"/>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附件：1.建安区“安全生产月”活动联络员反馈表</w:t>
      </w:r>
    </w:p>
    <w:p>
      <w:pPr>
        <w:keepNext w:val="0"/>
        <w:keepLines w:val="0"/>
        <w:pageBreakBefore w:val="0"/>
        <w:widowControl w:val="0"/>
        <w:kinsoku/>
        <w:wordWrap/>
        <w:overflowPunct/>
        <w:topLinePunct w:val="0"/>
        <w:autoSpaceDE/>
        <w:autoSpaceDN/>
        <w:bidi w:val="0"/>
        <w:adjustRightInd/>
        <w:snapToGrid/>
        <w:spacing w:before="0" w:after="0" w:line="556" w:lineRule="exact"/>
        <w:ind w:left="0" w:leftChars="0" w:right="0" w:rightChars="0" w:firstLine="1622" w:firstLineChars="507"/>
        <w:textAlignment w:val="auto"/>
        <w:outlineLvl w:val="9"/>
        <w:rPr>
          <w:rFonts w:ascii="仿宋_GB2312" w:hAnsi="仿宋" w:eastAsia="仿宋_GB2312"/>
          <w:color w:val="auto"/>
          <w:sz w:val="36"/>
          <w:szCs w:val="36"/>
        </w:rPr>
      </w:pPr>
      <w:r>
        <w:rPr>
          <w:rFonts w:hint="eastAsia" w:ascii="仿宋" w:hAnsi="仿宋" w:eastAsia="仿宋" w:cs="仿宋"/>
          <w:color w:val="auto"/>
          <w:sz w:val="32"/>
          <w:szCs w:val="32"/>
          <w:lang w:val="en-US" w:eastAsia="zh-CN"/>
        </w:rPr>
        <w:t>2.建安区“安全生产月”活动情况统计表</w:t>
      </w:r>
    </w:p>
    <w:p>
      <w:pPr>
        <w:keepNext w:val="0"/>
        <w:keepLines w:val="0"/>
        <w:pageBreakBefore w:val="0"/>
        <w:tabs>
          <w:tab w:val="left" w:pos="7513"/>
        </w:tabs>
        <w:kinsoku/>
        <w:wordWrap/>
        <w:overflowPunct/>
        <w:topLinePunct w:val="0"/>
        <w:autoSpaceDE/>
        <w:autoSpaceDN/>
        <w:bidi w:val="0"/>
        <w:adjustRightInd/>
        <w:snapToGrid/>
        <w:spacing w:line="560" w:lineRule="exact"/>
        <w:jc w:val="right"/>
        <w:textAlignment w:val="auto"/>
        <w:rPr>
          <w:rFonts w:hint="eastAsia" w:ascii="仿宋_GB2312" w:hAnsi="仿宋" w:eastAsia="仿宋_GB2312"/>
          <w:color w:val="auto"/>
          <w:sz w:val="36"/>
          <w:szCs w:val="36"/>
        </w:rPr>
      </w:pPr>
    </w:p>
    <w:p>
      <w:pPr>
        <w:pStyle w:val="2"/>
        <w:rPr>
          <w:rFonts w:hint="eastAsia"/>
        </w:rPr>
      </w:pPr>
    </w:p>
    <w:p>
      <w:pPr>
        <w:pStyle w:val="2"/>
        <w:rPr>
          <w:rFonts w:hint="eastAsia"/>
        </w:rPr>
      </w:pPr>
    </w:p>
    <w:p>
      <w:pPr>
        <w:keepNext w:val="0"/>
        <w:keepLines w:val="0"/>
        <w:pageBreakBefore w:val="0"/>
        <w:tabs>
          <w:tab w:val="left" w:pos="7513"/>
        </w:tabs>
        <w:kinsoku/>
        <w:wordWrap/>
        <w:overflowPunct/>
        <w:topLinePunct w:val="0"/>
        <w:autoSpaceDE/>
        <w:autoSpaceDN/>
        <w:bidi w:val="0"/>
        <w:adjustRightInd/>
        <w:snapToGrid/>
        <w:spacing w:line="560" w:lineRule="exact"/>
        <w:jc w:val="center"/>
        <w:textAlignment w:val="auto"/>
        <w:rPr>
          <w:rFonts w:ascii="仿宋_GB2312" w:eastAsia="仿宋_GB2312"/>
          <w:color w:val="auto"/>
          <w:sz w:val="32"/>
          <w:szCs w:val="32"/>
        </w:rPr>
        <w:sectPr>
          <w:footerReference r:id="rId3" w:type="default"/>
          <w:pgSz w:w="11906" w:h="16838"/>
          <w:pgMar w:top="1985" w:right="1531" w:bottom="1701" w:left="1531" w:header="851" w:footer="992" w:gutter="0"/>
          <w:pgNumType w:fmt="numberInDash"/>
          <w:cols w:space="720" w:num="1"/>
          <w:docGrid w:linePitch="312" w:charSpace="0"/>
        </w:sectPr>
      </w:pPr>
      <w:r>
        <w:rPr>
          <w:rFonts w:hint="eastAsia" w:ascii="仿宋_GB2312" w:hAnsi="仿宋" w:eastAsia="仿宋_GB2312"/>
          <w:color w:val="auto"/>
          <w:sz w:val="36"/>
          <w:szCs w:val="36"/>
          <w:lang w:val="en-US" w:eastAsia="zh-CN"/>
        </w:rPr>
        <w:t xml:space="preserve">                       </w:t>
      </w:r>
      <w:r>
        <w:rPr>
          <w:rFonts w:hint="eastAsia" w:ascii="仿宋_GB2312" w:hAnsi="仿宋" w:eastAsia="仿宋_GB2312"/>
          <w:color w:val="auto"/>
          <w:sz w:val="36"/>
          <w:szCs w:val="36"/>
        </w:rPr>
        <w:t>202</w:t>
      </w:r>
      <w:r>
        <w:rPr>
          <w:rFonts w:hint="eastAsia" w:ascii="仿宋_GB2312" w:hAnsi="仿宋" w:eastAsia="仿宋_GB2312"/>
          <w:color w:val="auto"/>
          <w:sz w:val="36"/>
          <w:szCs w:val="36"/>
          <w:lang w:val="en-US" w:eastAsia="zh-CN"/>
        </w:rPr>
        <w:t>2</w:t>
      </w:r>
      <w:r>
        <w:rPr>
          <w:rFonts w:hint="eastAsia" w:ascii="仿宋_GB2312" w:hAnsi="仿宋" w:eastAsia="仿宋_GB2312"/>
          <w:color w:val="auto"/>
          <w:sz w:val="36"/>
          <w:szCs w:val="36"/>
        </w:rPr>
        <w:t>年</w:t>
      </w:r>
      <w:r>
        <w:rPr>
          <w:rFonts w:hint="eastAsia" w:ascii="仿宋_GB2312" w:hAnsi="仿宋" w:eastAsia="仿宋_GB2312"/>
          <w:color w:val="auto"/>
          <w:sz w:val="36"/>
          <w:szCs w:val="36"/>
          <w:lang w:val="en-US" w:eastAsia="zh-CN"/>
        </w:rPr>
        <w:t>5</w:t>
      </w:r>
      <w:r>
        <w:rPr>
          <w:rFonts w:hint="eastAsia" w:ascii="仿宋_GB2312" w:hAnsi="仿宋" w:eastAsia="仿宋_GB2312"/>
          <w:color w:val="auto"/>
          <w:sz w:val="36"/>
          <w:szCs w:val="36"/>
        </w:rPr>
        <w:t>月</w:t>
      </w:r>
      <w:r>
        <w:rPr>
          <w:rFonts w:hint="eastAsia" w:ascii="仿宋_GB2312" w:hAnsi="仿宋" w:eastAsia="仿宋_GB2312"/>
          <w:color w:val="auto"/>
          <w:sz w:val="36"/>
          <w:szCs w:val="36"/>
          <w:lang w:val="en-US" w:eastAsia="zh-CN"/>
        </w:rPr>
        <w:t>31</w:t>
      </w:r>
      <w:r>
        <w:rPr>
          <w:rFonts w:hint="eastAsia" w:ascii="仿宋_GB2312" w:hAnsi="仿宋" w:eastAsia="仿宋_GB2312"/>
          <w:color w:val="auto"/>
          <w:sz w:val="36"/>
          <w:szCs w:val="36"/>
        </w:rPr>
        <w:t>日</w:t>
      </w:r>
    </w:p>
    <w:p>
      <w:pPr>
        <w:widowControl/>
        <w:spacing w:line="360" w:lineRule="auto"/>
        <w:rPr>
          <w:rFonts w:ascii="黑体" w:hAnsi="黑体" w:eastAsia="黑体" w:cs="宋体"/>
          <w:b/>
          <w:bCs/>
          <w:color w:val="auto"/>
          <w:sz w:val="32"/>
          <w:szCs w:val="32"/>
        </w:rPr>
      </w:pPr>
      <w:r>
        <w:rPr>
          <w:rFonts w:hint="eastAsia" w:ascii="黑体" w:hAnsi="黑体" w:eastAsia="黑体" w:cs="宋体"/>
          <w:b/>
          <w:bCs/>
          <w:color w:val="auto"/>
          <w:sz w:val="32"/>
          <w:szCs w:val="32"/>
        </w:rPr>
        <w:t>附件1</w:t>
      </w:r>
    </w:p>
    <w:p>
      <w:pPr>
        <w:spacing w:line="360" w:lineRule="auto"/>
        <w:rPr>
          <w:rFonts w:ascii="黑体" w:hAnsi="黑体" w:eastAsia="黑体"/>
          <w:color w:val="auto"/>
          <w:sz w:val="32"/>
          <w:szCs w:val="32"/>
        </w:rPr>
      </w:pPr>
    </w:p>
    <w:tbl>
      <w:tblPr>
        <w:tblStyle w:val="12"/>
        <w:tblW w:w="14083" w:type="dxa"/>
        <w:tblInd w:w="93" w:type="dxa"/>
        <w:tblLayout w:type="fixed"/>
        <w:tblCellMar>
          <w:top w:w="0" w:type="dxa"/>
          <w:left w:w="108" w:type="dxa"/>
          <w:bottom w:w="0" w:type="dxa"/>
          <w:right w:w="108" w:type="dxa"/>
        </w:tblCellMar>
      </w:tblPr>
      <w:tblGrid>
        <w:gridCol w:w="2535"/>
        <w:gridCol w:w="2340"/>
        <w:gridCol w:w="2340"/>
        <w:gridCol w:w="2340"/>
        <w:gridCol w:w="2160"/>
        <w:gridCol w:w="2368"/>
      </w:tblGrid>
      <w:tr>
        <w:tblPrEx>
          <w:tblCellMar>
            <w:top w:w="0" w:type="dxa"/>
            <w:left w:w="108" w:type="dxa"/>
            <w:bottom w:w="0" w:type="dxa"/>
            <w:right w:w="108" w:type="dxa"/>
          </w:tblCellMar>
        </w:tblPrEx>
        <w:trPr>
          <w:trHeight w:val="976" w:hRule="atLeast"/>
        </w:trPr>
        <w:tc>
          <w:tcPr>
            <w:tcW w:w="14083" w:type="dxa"/>
            <w:gridSpan w:val="6"/>
            <w:vMerge w:val="restart"/>
            <w:tcBorders>
              <w:top w:val="nil"/>
              <w:left w:val="nil"/>
              <w:bottom w:val="nil"/>
              <w:right w:val="nil"/>
            </w:tcBorders>
            <w:vAlign w:val="center"/>
          </w:tcPr>
          <w:p>
            <w:pPr>
              <w:spacing w:line="360" w:lineRule="auto"/>
              <w:jc w:val="center"/>
              <w:rPr>
                <w:rFonts w:ascii="华文中宋" w:hAnsi="华文中宋" w:eastAsia="华文中宋" w:cs="宋体"/>
                <w:b/>
                <w:bCs/>
                <w:color w:val="auto"/>
                <w:sz w:val="44"/>
                <w:szCs w:val="44"/>
              </w:rPr>
            </w:pPr>
            <w:r>
              <w:rPr>
                <w:rFonts w:hint="eastAsia" w:ascii="方正小标宋简体" w:hAnsi="方正小标宋简体" w:eastAsia="方正小标宋简体" w:cs="方正小标宋简体"/>
                <w:color w:val="auto"/>
                <w:sz w:val="44"/>
                <w:szCs w:val="44"/>
                <w:lang w:val="en-US" w:eastAsia="zh-CN"/>
              </w:rPr>
              <w:t>建安区</w:t>
            </w:r>
            <w:r>
              <w:rPr>
                <w:rFonts w:hint="eastAsia" w:ascii="方正小标宋简体" w:hAnsi="方正小标宋简体" w:eastAsia="方正小标宋简体" w:cs="方正小标宋简体"/>
                <w:color w:val="auto"/>
                <w:sz w:val="44"/>
                <w:szCs w:val="44"/>
              </w:rPr>
              <w:t>“安全生产月”活动联络员反馈表</w:t>
            </w:r>
          </w:p>
        </w:tc>
      </w:tr>
      <w:tr>
        <w:tblPrEx>
          <w:tblCellMar>
            <w:top w:w="0" w:type="dxa"/>
            <w:left w:w="108" w:type="dxa"/>
            <w:bottom w:w="0" w:type="dxa"/>
            <w:right w:w="108" w:type="dxa"/>
          </w:tblCellMar>
        </w:tblPrEx>
        <w:trPr>
          <w:trHeight w:val="710" w:hRule="atLeast"/>
        </w:trPr>
        <w:tc>
          <w:tcPr>
            <w:tcW w:w="14083" w:type="dxa"/>
            <w:gridSpan w:val="6"/>
            <w:vMerge w:val="continue"/>
            <w:tcBorders>
              <w:top w:val="nil"/>
              <w:left w:val="nil"/>
              <w:bottom w:val="nil"/>
              <w:right w:val="nil"/>
            </w:tcBorders>
            <w:vAlign w:val="center"/>
          </w:tcPr>
          <w:p>
            <w:pPr>
              <w:spacing w:line="360" w:lineRule="auto"/>
              <w:rPr>
                <w:rFonts w:ascii="华文中宋" w:hAnsi="华文中宋" w:eastAsia="华文中宋" w:cs="宋体"/>
                <w:b/>
                <w:bCs/>
                <w:color w:val="auto"/>
                <w:sz w:val="32"/>
                <w:szCs w:val="32"/>
              </w:rPr>
            </w:pPr>
          </w:p>
        </w:tc>
      </w:tr>
      <w:tr>
        <w:tblPrEx>
          <w:tblCellMar>
            <w:top w:w="0" w:type="dxa"/>
            <w:left w:w="108" w:type="dxa"/>
            <w:bottom w:w="0" w:type="dxa"/>
            <w:right w:w="108" w:type="dxa"/>
          </w:tblCellMar>
        </w:tblPrEx>
        <w:trPr>
          <w:trHeight w:val="720" w:hRule="atLeast"/>
        </w:trPr>
        <w:tc>
          <w:tcPr>
            <w:tcW w:w="253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仿宋_GB2312" w:hAnsi="宋体" w:cs="宋体"/>
                <w:color w:val="auto"/>
                <w:sz w:val="28"/>
                <w:szCs w:val="28"/>
              </w:rPr>
            </w:pPr>
            <w:r>
              <w:rPr>
                <w:rFonts w:hint="eastAsia" w:ascii="仿宋_GB2312" w:hAnsi="宋体" w:cs="宋体"/>
                <w:color w:val="auto"/>
                <w:sz w:val="28"/>
                <w:szCs w:val="28"/>
              </w:rPr>
              <w:t>姓名</w:t>
            </w:r>
          </w:p>
        </w:tc>
        <w:tc>
          <w:tcPr>
            <w:tcW w:w="2340" w:type="dxa"/>
            <w:tcBorders>
              <w:top w:val="single" w:color="auto" w:sz="4" w:space="0"/>
              <w:left w:val="nil"/>
              <w:bottom w:val="single" w:color="auto" w:sz="4" w:space="0"/>
              <w:right w:val="single" w:color="auto" w:sz="4" w:space="0"/>
            </w:tcBorders>
            <w:vAlign w:val="bottom"/>
          </w:tcPr>
          <w:p>
            <w:pPr>
              <w:spacing w:line="360" w:lineRule="auto"/>
              <w:jc w:val="center"/>
              <w:rPr>
                <w:rFonts w:ascii="仿宋_GB2312" w:hAnsi="宋体" w:cs="宋体"/>
                <w:color w:val="auto"/>
                <w:sz w:val="28"/>
                <w:szCs w:val="28"/>
              </w:rPr>
            </w:pPr>
          </w:p>
        </w:tc>
        <w:tc>
          <w:tcPr>
            <w:tcW w:w="2340" w:type="dxa"/>
            <w:tcBorders>
              <w:top w:val="single" w:color="auto" w:sz="4" w:space="0"/>
              <w:left w:val="nil"/>
              <w:bottom w:val="single" w:color="auto" w:sz="4" w:space="0"/>
              <w:right w:val="single" w:color="auto" w:sz="4" w:space="0"/>
            </w:tcBorders>
            <w:vAlign w:val="bottom"/>
          </w:tcPr>
          <w:p>
            <w:pPr>
              <w:spacing w:line="360" w:lineRule="auto"/>
              <w:jc w:val="center"/>
              <w:rPr>
                <w:rFonts w:ascii="仿宋_GB2312" w:hAnsi="宋体" w:cs="宋体"/>
                <w:color w:val="auto"/>
                <w:sz w:val="28"/>
                <w:szCs w:val="28"/>
              </w:rPr>
            </w:pPr>
            <w:r>
              <w:rPr>
                <w:rFonts w:hint="eastAsia" w:ascii="仿宋_GB2312" w:hAnsi="宋体" w:cs="宋体"/>
                <w:color w:val="auto"/>
                <w:sz w:val="28"/>
                <w:szCs w:val="28"/>
              </w:rPr>
              <w:t>性别</w:t>
            </w:r>
          </w:p>
        </w:tc>
        <w:tc>
          <w:tcPr>
            <w:tcW w:w="2340" w:type="dxa"/>
            <w:tcBorders>
              <w:top w:val="single" w:color="auto" w:sz="4" w:space="0"/>
              <w:left w:val="nil"/>
              <w:bottom w:val="single" w:color="auto" w:sz="4" w:space="0"/>
              <w:right w:val="single" w:color="auto" w:sz="4" w:space="0"/>
            </w:tcBorders>
            <w:vAlign w:val="bottom"/>
          </w:tcPr>
          <w:p>
            <w:pPr>
              <w:spacing w:line="360" w:lineRule="auto"/>
              <w:jc w:val="center"/>
              <w:rPr>
                <w:rFonts w:ascii="仿宋_GB2312" w:hAnsi="宋体" w:cs="宋体"/>
                <w:color w:val="auto"/>
                <w:sz w:val="28"/>
                <w:szCs w:val="28"/>
              </w:rPr>
            </w:pPr>
          </w:p>
        </w:tc>
        <w:tc>
          <w:tcPr>
            <w:tcW w:w="2160" w:type="dxa"/>
            <w:tcBorders>
              <w:top w:val="single" w:color="auto" w:sz="4" w:space="0"/>
              <w:left w:val="nil"/>
              <w:bottom w:val="single" w:color="auto" w:sz="4" w:space="0"/>
              <w:right w:val="single" w:color="auto" w:sz="4" w:space="0"/>
            </w:tcBorders>
            <w:vAlign w:val="bottom"/>
          </w:tcPr>
          <w:p>
            <w:pPr>
              <w:spacing w:line="360" w:lineRule="auto"/>
              <w:jc w:val="center"/>
              <w:rPr>
                <w:rFonts w:ascii="仿宋_GB2312" w:hAnsi="宋体" w:cs="宋体"/>
                <w:color w:val="auto"/>
                <w:sz w:val="28"/>
                <w:szCs w:val="28"/>
              </w:rPr>
            </w:pPr>
            <w:r>
              <w:rPr>
                <w:rFonts w:hint="eastAsia" w:ascii="仿宋_GB2312" w:hAnsi="宋体" w:cs="宋体"/>
                <w:color w:val="auto"/>
                <w:sz w:val="28"/>
                <w:szCs w:val="28"/>
              </w:rPr>
              <w:t>职务</w:t>
            </w:r>
          </w:p>
        </w:tc>
        <w:tc>
          <w:tcPr>
            <w:tcW w:w="2368" w:type="dxa"/>
            <w:tcBorders>
              <w:top w:val="single" w:color="auto" w:sz="4" w:space="0"/>
              <w:left w:val="nil"/>
              <w:bottom w:val="single" w:color="auto" w:sz="4" w:space="0"/>
              <w:right w:val="single" w:color="auto" w:sz="4" w:space="0"/>
            </w:tcBorders>
            <w:vAlign w:val="bottom"/>
          </w:tcPr>
          <w:p>
            <w:pPr>
              <w:spacing w:line="360" w:lineRule="auto"/>
              <w:jc w:val="center"/>
              <w:rPr>
                <w:rFonts w:ascii="仿宋_GB2312" w:hAnsi="宋体" w:cs="宋体"/>
                <w:color w:val="auto"/>
                <w:sz w:val="28"/>
                <w:szCs w:val="28"/>
              </w:rPr>
            </w:pPr>
          </w:p>
        </w:tc>
      </w:tr>
      <w:tr>
        <w:tblPrEx>
          <w:tblCellMar>
            <w:top w:w="0" w:type="dxa"/>
            <w:left w:w="108" w:type="dxa"/>
            <w:bottom w:w="0" w:type="dxa"/>
            <w:right w:w="108" w:type="dxa"/>
          </w:tblCellMar>
        </w:tblPrEx>
        <w:trPr>
          <w:trHeight w:val="780" w:hRule="atLeast"/>
        </w:trPr>
        <w:tc>
          <w:tcPr>
            <w:tcW w:w="2535" w:type="dxa"/>
            <w:tcBorders>
              <w:top w:val="nil"/>
              <w:left w:val="single" w:color="auto" w:sz="4" w:space="0"/>
              <w:bottom w:val="single" w:color="auto" w:sz="4" w:space="0"/>
              <w:right w:val="single" w:color="auto" w:sz="4" w:space="0"/>
            </w:tcBorders>
            <w:vAlign w:val="bottom"/>
          </w:tcPr>
          <w:p>
            <w:pPr>
              <w:spacing w:line="360" w:lineRule="auto"/>
              <w:jc w:val="center"/>
              <w:rPr>
                <w:rFonts w:ascii="仿宋_GB2312" w:hAnsi="宋体" w:cs="宋体"/>
                <w:color w:val="auto"/>
                <w:sz w:val="28"/>
                <w:szCs w:val="28"/>
              </w:rPr>
            </w:pPr>
            <w:r>
              <w:rPr>
                <w:rFonts w:hint="eastAsia" w:ascii="仿宋_GB2312" w:hAnsi="宋体" w:cs="宋体"/>
                <w:color w:val="auto"/>
                <w:sz w:val="28"/>
                <w:szCs w:val="28"/>
              </w:rPr>
              <w:t>办公电话</w:t>
            </w:r>
          </w:p>
        </w:tc>
        <w:tc>
          <w:tcPr>
            <w:tcW w:w="2340" w:type="dxa"/>
            <w:tcBorders>
              <w:top w:val="nil"/>
              <w:left w:val="nil"/>
              <w:bottom w:val="single" w:color="auto" w:sz="4" w:space="0"/>
              <w:right w:val="single" w:color="auto" w:sz="4" w:space="0"/>
            </w:tcBorders>
            <w:vAlign w:val="bottom"/>
          </w:tcPr>
          <w:p>
            <w:pPr>
              <w:spacing w:line="360" w:lineRule="auto"/>
              <w:jc w:val="center"/>
              <w:rPr>
                <w:rFonts w:ascii="仿宋_GB2312" w:hAnsi="宋体" w:cs="宋体"/>
                <w:color w:val="auto"/>
                <w:sz w:val="28"/>
                <w:szCs w:val="28"/>
              </w:rPr>
            </w:pPr>
          </w:p>
        </w:tc>
        <w:tc>
          <w:tcPr>
            <w:tcW w:w="2340" w:type="dxa"/>
            <w:tcBorders>
              <w:top w:val="nil"/>
              <w:left w:val="nil"/>
              <w:bottom w:val="single" w:color="auto" w:sz="4" w:space="0"/>
              <w:right w:val="single" w:color="auto" w:sz="4" w:space="0"/>
            </w:tcBorders>
            <w:vAlign w:val="bottom"/>
          </w:tcPr>
          <w:p>
            <w:pPr>
              <w:spacing w:line="360" w:lineRule="auto"/>
              <w:jc w:val="center"/>
              <w:rPr>
                <w:rFonts w:ascii="仿宋_GB2312" w:hAnsi="宋体" w:cs="宋体"/>
                <w:color w:val="auto"/>
                <w:sz w:val="28"/>
                <w:szCs w:val="28"/>
              </w:rPr>
            </w:pPr>
            <w:r>
              <w:rPr>
                <w:rFonts w:hint="eastAsia" w:ascii="仿宋_GB2312" w:hAnsi="宋体" w:cs="宋体"/>
                <w:color w:val="auto"/>
                <w:sz w:val="28"/>
                <w:szCs w:val="28"/>
              </w:rPr>
              <w:t>手机</w:t>
            </w:r>
          </w:p>
        </w:tc>
        <w:tc>
          <w:tcPr>
            <w:tcW w:w="2340" w:type="dxa"/>
            <w:tcBorders>
              <w:top w:val="nil"/>
              <w:left w:val="nil"/>
              <w:bottom w:val="single" w:color="auto" w:sz="4" w:space="0"/>
              <w:right w:val="single" w:color="auto" w:sz="4" w:space="0"/>
            </w:tcBorders>
            <w:vAlign w:val="bottom"/>
          </w:tcPr>
          <w:p>
            <w:pPr>
              <w:spacing w:line="360" w:lineRule="auto"/>
              <w:jc w:val="center"/>
              <w:rPr>
                <w:rFonts w:ascii="仿宋_GB2312" w:hAnsi="宋体" w:cs="宋体"/>
                <w:color w:val="auto"/>
                <w:sz w:val="28"/>
                <w:szCs w:val="28"/>
              </w:rPr>
            </w:pPr>
          </w:p>
        </w:tc>
        <w:tc>
          <w:tcPr>
            <w:tcW w:w="2160" w:type="dxa"/>
            <w:tcBorders>
              <w:top w:val="nil"/>
              <w:left w:val="nil"/>
              <w:bottom w:val="single" w:color="auto" w:sz="4" w:space="0"/>
              <w:right w:val="single" w:color="auto" w:sz="4" w:space="0"/>
            </w:tcBorders>
            <w:vAlign w:val="bottom"/>
          </w:tcPr>
          <w:p>
            <w:pPr>
              <w:spacing w:line="360" w:lineRule="auto"/>
              <w:jc w:val="center"/>
              <w:rPr>
                <w:rFonts w:ascii="仿宋_GB2312" w:hAnsi="宋体" w:cs="宋体"/>
                <w:color w:val="auto"/>
                <w:sz w:val="28"/>
                <w:szCs w:val="28"/>
              </w:rPr>
            </w:pPr>
            <w:r>
              <w:rPr>
                <w:rFonts w:hint="eastAsia" w:ascii="仿宋_GB2312" w:hAnsi="宋体" w:cs="宋体"/>
                <w:color w:val="auto"/>
                <w:sz w:val="28"/>
                <w:szCs w:val="28"/>
              </w:rPr>
              <w:t>传真</w:t>
            </w:r>
          </w:p>
        </w:tc>
        <w:tc>
          <w:tcPr>
            <w:tcW w:w="2368" w:type="dxa"/>
            <w:tcBorders>
              <w:top w:val="single" w:color="auto" w:sz="4" w:space="0"/>
              <w:left w:val="nil"/>
              <w:bottom w:val="single" w:color="auto" w:sz="4" w:space="0"/>
              <w:right w:val="single" w:color="auto" w:sz="4" w:space="0"/>
            </w:tcBorders>
            <w:vAlign w:val="bottom"/>
          </w:tcPr>
          <w:p>
            <w:pPr>
              <w:spacing w:line="360" w:lineRule="auto"/>
              <w:jc w:val="center"/>
              <w:rPr>
                <w:rFonts w:ascii="仿宋_GB2312" w:hAnsi="宋体" w:cs="宋体"/>
                <w:color w:val="auto"/>
                <w:sz w:val="28"/>
                <w:szCs w:val="28"/>
              </w:rPr>
            </w:pPr>
          </w:p>
        </w:tc>
      </w:tr>
      <w:tr>
        <w:tblPrEx>
          <w:tblCellMar>
            <w:top w:w="0" w:type="dxa"/>
            <w:left w:w="108" w:type="dxa"/>
            <w:bottom w:w="0" w:type="dxa"/>
            <w:right w:w="108" w:type="dxa"/>
          </w:tblCellMar>
        </w:tblPrEx>
        <w:trPr>
          <w:trHeight w:val="780" w:hRule="atLeast"/>
        </w:trPr>
        <w:tc>
          <w:tcPr>
            <w:tcW w:w="2535" w:type="dxa"/>
            <w:tcBorders>
              <w:top w:val="nil"/>
              <w:left w:val="single" w:color="auto" w:sz="4" w:space="0"/>
              <w:bottom w:val="single" w:color="auto" w:sz="4" w:space="0"/>
              <w:right w:val="single" w:color="auto" w:sz="4" w:space="0"/>
            </w:tcBorders>
            <w:vAlign w:val="bottom"/>
          </w:tcPr>
          <w:p>
            <w:pPr>
              <w:spacing w:line="360" w:lineRule="auto"/>
              <w:jc w:val="center"/>
              <w:rPr>
                <w:rFonts w:ascii="仿宋_GB2312" w:hAnsi="宋体" w:cs="宋体"/>
                <w:color w:val="auto"/>
                <w:sz w:val="28"/>
                <w:szCs w:val="28"/>
              </w:rPr>
            </w:pPr>
            <w:r>
              <w:rPr>
                <w:rFonts w:hint="eastAsia" w:ascii="仿宋_GB2312" w:hAnsi="宋体" w:cs="宋体"/>
                <w:color w:val="auto"/>
                <w:sz w:val="28"/>
                <w:szCs w:val="28"/>
              </w:rPr>
              <w:t>电子邮箱</w:t>
            </w:r>
          </w:p>
        </w:tc>
        <w:tc>
          <w:tcPr>
            <w:tcW w:w="11548" w:type="dxa"/>
            <w:gridSpan w:val="5"/>
            <w:tcBorders>
              <w:top w:val="nil"/>
              <w:left w:val="nil"/>
              <w:bottom w:val="single" w:color="auto" w:sz="4" w:space="0"/>
              <w:right w:val="single" w:color="auto" w:sz="4" w:space="0"/>
            </w:tcBorders>
            <w:vAlign w:val="bottom"/>
          </w:tcPr>
          <w:p>
            <w:pPr>
              <w:spacing w:line="360" w:lineRule="auto"/>
              <w:jc w:val="center"/>
              <w:rPr>
                <w:rFonts w:ascii="宋体" w:hAnsi="宋体" w:cs="宋体"/>
                <w:color w:val="auto"/>
                <w:sz w:val="28"/>
                <w:szCs w:val="28"/>
              </w:rPr>
            </w:pPr>
          </w:p>
        </w:tc>
      </w:tr>
      <w:tr>
        <w:tblPrEx>
          <w:tblCellMar>
            <w:top w:w="0" w:type="dxa"/>
            <w:left w:w="108" w:type="dxa"/>
            <w:bottom w:w="0" w:type="dxa"/>
            <w:right w:w="108" w:type="dxa"/>
          </w:tblCellMar>
        </w:tblPrEx>
        <w:trPr>
          <w:trHeight w:val="766" w:hRule="atLeast"/>
        </w:trPr>
        <w:tc>
          <w:tcPr>
            <w:tcW w:w="2535" w:type="dxa"/>
            <w:tcBorders>
              <w:top w:val="nil"/>
              <w:left w:val="single" w:color="auto" w:sz="4" w:space="0"/>
              <w:bottom w:val="single" w:color="auto" w:sz="4" w:space="0"/>
              <w:right w:val="single" w:color="auto" w:sz="4" w:space="0"/>
            </w:tcBorders>
            <w:vAlign w:val="bottom"/>
          </w:tcPr>
          <w:p>
            <w:pPr>
              <w:spacing w:line="360" w:lineRule="auto"/>
              <w:jc w:val="center"/>
              <w:rPr>
                <w:rFonts w:ascii="仿宋_GB2312" w:hAnsi="宋体" w:cs="宋体"/>
                <w:color w:val="auto"/>
                <w:sz w:val="28"/>
                <w:szCs w:val="28"/>
              </w:rPr>
            </w:pPr>
            <w:r>
              <w:rPr>
                <w:rFonts w:hint="eastAsia" w:ascii="仿宋_GB2312" w:hAnsi="宋体" w:cs="宋体"/>
                <w:color w:val="auto"/>
                <w:sz w:val="28"/>
                <w:szCs w:val="28"/>
              </w:rPr>
              <w:t>单位名称</w:t>
            </w:r>
          </w:p>
        </w:tc>
        <w:tc>
          <w:tcPr>
            <w:tcW w:w="11548" w:type="dxa"/>
            <w:gridSpan w:val="5"/>
            <w:tcBorders>
              <w:top w:val="single" w:color="auto" w:sz="4" w:space="0"/>
              <w:left w:val="nil"/>
              <w:bottom w:val="single" w:color="auto" w:sz="4" w:space="0"/>
              <w:right w:val="single" w:color="auto" w:sz="4" w:space="0"/>
            </w:tcBorders>
            <w:vAlign w:val="bottom"/>
          </w:tcPr>
          <w:p>
            <w:pPr>
              <w:spacing w:line="360" w:lineRule="auto"/>
              <w:jc w:val="center"/>
              <w:rPr>
                <w:rFonts w:ascii="宋体" w:hAnsi="宋体" w:cs="宋体"/>
                <w:color w:val="auto"/>
                <w:sz w:val="28"/>
                <w:szCs w:val="28"/>
              </w:rPr>
            </w:pPr>
          </w:p>
        </w:tc>
      </w:tr>
      <w:tr>
        <w:tblPrEx>
          <w:tblCellMar>
            <w:top w:w="0" w:type="dxa"/>
            <w:left w:w="108" w:type="dxa"/>
            <w:bottom w:w="0" w:type="dxa"/>
            <w:right w:w="108" w:type="dxa"/>
          </w:tblCellMar>
        </w:tblPrEx>
        <w:trPr>
          <w:trHeight w:val="851" w:hRule="atLeast"/>
        </w:trPr>
        <w:tc>
          <w:tcPr>
            <w:tcW w:w="2535" w:type="dxa"/>
            <w:tcBorders>
              <w:top w:val="nil"/>
              <w:left w:val="single" w:color="auto" w:sz="4" w:space="0"/>
              <w:bottom w:val="single" w:color="auto" w:sz="4" w:space="0"/>
              <w:right w:val="single" w:color="auto" w:sz="4" w:space="0"/>
            </w:tcBorders>
            <w:vAlign w:val="bottom"/>
          </w:tcPr>
          <w:p>
            <w:pPr>
              <w:spacing w:line="360" w:lineRule="auto"/>
              <w:jc w:val="center"/>
              <w:rPr>
                <w:rFonts w:ascii="仿宋_GB2312" w:hAnsi="宋体" w:cs="宋体"/>
                <w:color w:val="auto"/>
                <w:sz w:val="28"/>
                <w:szCs w:val="28"/>
              </w:rPr>
            </w:pPr>
            <w:r>
              <w:rPr>
                <w:rFonts w:hint="eastAsia" w:ascii="仿宋_GB2312" w:hAnsi="宋体" w:cs="宋体"/>
                <w:color w:val="auto"/>
                <w:sz w:val="28"/>
                <w:szCs w:val="28"/>
              </w:rPr>
              <w:t>通信地址</w:t>
            </w:r>
          </w:p>
        </w:tc>
        <w:tc>
          <w:tcPr>
            <w:tcW w:w="11548" w:type="dxa"/>
            <w:gridSpan w:val="5"/>
            <w:tcBorders>
              <w:top w:val="single" w:color="auto" w:sz="4" w:space="0"/>
              <w:left w:val="nil"/>
              <w:bottom w:val="single" w:color="auto" w:sz="4" w:space="0"/>
              <w:right w:val="single" w:color="auto" w:sz="4" w:space="0"/>
            </w:tcBorders>
            <w:vAlign w:val="bottom"/>
          </w:tcPr>
          <w:p>
            <w:pPr>
              <w:spacing w:line="360" w:lineRule="auto"/>
              <w:jc w:val="center"/>
              <w:rPr>
                <w:rFonts w:ascii="仿宋_GB2312" w:hAnsi="宋体" w:cs="宋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注：请于</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日前将此表</w:t>
      </w:r>
      <w:r>
        <w:rPr>
          <w:rFonts w:hint="eastAsia" w:ascii="仿宋_GB2312" w:hAnsi="仿宋_GB2312" w:eastAsia="仿宋_GB2312" w:cs="仿宋_GB2312"/>
          <w:color w:val="auto"/>
          <w:sz w:val="32"/>
          <w:szCs w:val="32"/>
          <w:lang w:val="en-US" w:eastAsia="zh-CN"/>
        </w:rPr>
        <w:t>发送到</w:t>
      </w:r>
      <w:r>
        <w:rPr>
          <w:rFonts w:hint="eastAsia" w:ascii="仿宋_GB2312" w:hAnsi="仿宋_GB2312" w:eastAsia="仿宋_GB2312" w:cs="仿宋_GB2312"/>
          <w:color w:val="auto"/>
          <w:kern w:val="0"/>
          <w:sz w:val="32"/>
          <w:szCs w:val="32"/>
          <w:lang w:val="en-US" w:eastAsia="zh-CN"/>
        </w:rPr>
        <w:t>1548965649@qq.com</w:t>
      </w:r>
      <w:r>
        <w:rPr>
          <w:rFonts w:hint="eastAsia" w:ascii="仿宋_GB2312" w:hAnsi="仿宋_GB2312" w:eastAsia="仿宋_GB2312" w:cs="仿宋_GB2312"/>
          <w:color w:val="auto"/>
          <w:sz w:val="32"/>
          <w:szCs w:val="32"/>
          <w:lang w:eastAsia="zh-CN"/>
        </w:rPr>
        <w:t>邮箱</w:t>
      </w:r>
      <w:bookmarkStart w:id="0" w:name="_GoBack"/>
      <w:bookmarkEnd w:id="0"/>
    </w:p>
    <w:p>
      <w:pPr>
        <w:spacing w:line="360" w:lineRule="auto"/>
        <w:ind w:firstLine="480" w:firstLineChars="150"/>
        <w:rPr>
          <w:rFonts w:hint="eastAsia" w:ascii="仿宋_GB2312" w:hAnsi="仿宋_GB2312" w:eastAsia="仿宋_GB2312" w:cs="仿宋_GB2312"/>
          <w:color w:val="auto"/>
          <w:sz w:val="32"/>
          <w:szCs w:val="32"/>
          <w:lang w:eastAsia="zh-CN"/>
        </w:rPr>
      </w:pPr>
    </w:p>
    <w:p>
      <w:pPr>
        <w:pStyle w:val="6"/>
        <w:pageBreakBefore/>
        <w:spacing w:line="360" w:lineRule="auto"/>
        <w:ind w:left="0" w:leftChars="0" w:firstLine="0" w:firstLineChars="0"/>
        <w:rPr>
          <w:rFonts w:ascii="黑体" w:hAnsi="黑体" w:eastAsia="黑体" w:cs="宋体"/>
          <w:b/>
          <w:bCs/>
          <w:color w:val="auto"/>
          <w:sz w:val="32"/>
          <w:szCs w:val="32"/>
        </w:rPr>
      </w:pPr>
      <w:r>
        <w:rPr>
          <w:rFonts w:hint="eastAsia" w:ascii="黑体" w:hAnsi="黑体" w:eastAsia="黑体" w:cs="宋体"/>
          <w:b/>
          <w:bCs/>
          <w:color w:val="auto"/>
          <w:sz w:val="32"/>
          <w:szCs w:val="32"/>
        </w:rPr>
        <w:t>附件2</w:t>
      </w:r>
    </w:p>
    <w:p>
      <w:pPr>
        <w:pStyle w:val="6"/>
        <w:spacing w:line="360" w:lineRule="auto"/>
        <w:ind w:left="0" w:leftChars="0" w:firstLine="0" w:firstLineChars="0"/>
        <w:jc w:val="center"/>
        <w:rPr>
          <w:rFonts w:ascii="方正小标宋简体" w:hAnsi="华文中宋" w:eastAsia="方正小标宋简体" w:cs="宋体"/>
          <w:color w:val="auto"/>
          <w:sz w:val="44"/>
          <w:szCs w:val="44"/>
        </w:rPr>
      </w:pPr>
      <w:r>
        <w:rPr>
          <w:rFonts w:hint="eastAsia" w:ascii="方正小标宋简体" w:hAnsi="华文中宋" w:eastAsia="方正小标宋简体" w:cs="宋体"/>
          <w:color w:val="auto"/>
          <w:sz w:val="44"/>
          <w:szCs w:val="44"/>
          <w:lang w:val="en-US" w:eastAsia="zh-CN"/>
        </w:rPr>
        <w:t>建安区</w:t>
      </w:r>
      <w:r>
        <w:rPr>
          <w:rFonts w:hint="eastAsia" w:ascii="方正小标宋简体" w:hAnsi="华文中宋" w:eastAsia="方正小标宋简体" w:cs="宋体"/>
          <w:color w:val="auto"/>
          <w:sz w:val="44"/>
          <w:szCs w:val="44"/>
        </w:rPr>
        <w:t>“安全生产月”活动进展情况统计表</w:t>
      </w:r>
    </w:p>
    <w:p>
      <w:pPr>
        <w:pStyle w:val="19"/>
        <w:tabs>
          <w:tab w:val="left" w:pos="5809"/>
          <w:tab w:val="left" w:pos="8199"/>
          <w:tab w:val="left" w:pos="10309"/>
          <w:tab w:val="left" w:pos="13117"/>
        </w:tabs>
        <w:spacing w:after="240" w:line="240" w:lineRule="auto"/>
        <w:ind w:left="0" w:leftChars="0" w:firstLine="0" w:firstLineChars="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填报单位（盖章）：</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z w:val="24"/>
          <w:szCs w:val="24"/>
        </w:rPr>
        <w:t xml:space="preserve">联系人：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z w:val="24"/>
          <w:szCs w:val="24"/>
        </w:rPr>
        <w:t xml:space="preserve">电话：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z w:val="24"/>
          <w:szCs w:val="24"/>
        </w:rPr>
        <w:t xml:space="preserve">填报日期：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rPr>
        <w:tab/>
      </w:r>
    </w:p>
    <w:tbl>
      <w:tblPr>
        <w:tblStyle w:val="12"/>
        <w:tblW w:w="13903" w:type="dxa"/>
        <w:jc w:val="center"/>
        <w:tblLayout w:type="fixed"/>
        <w:tblCellMar>
          <w:top w:w="0" w:type="dxa"/>
          <w:left w:w="10" w:type="dxa"/>
          <w:bottom w:w="0" w:type="dxa"/>
          <w:right w:w="10" w:type="dxa"/>
        </w:tblCellMar>
      </w:tblPr>
      <w:tblGrid>
        <w:gridCol w:w="2642"/>
        <w:gridCol w:w="4450"/>
        <w:gridCol w:w="7"/>
        <w:gridCol w:w="6797"/>
        <w:gridCol w:w="7"/>
      </w:tblGrid>
      <w:tr>
        <w:tblPrEx>
          <w:tblCellMar>
            <w:top w:w="0" w:type="dxa"/>
            <w:left w:w="10" w:type="dxa"/>
            <w:bottom w:w="0" w:type="dxa"/>
            <w:right w:w="10" w:type="dxa"/>
          </w:tblCellMar>
        </w:tblPrEx>
        <w:trPr>
          <w:gridAfter w:val="1"/>
          <w:wAfter w:w="7" w:type="dxa"/>
          <w:trHeight w:val="468" w:hRule="exact"/>
          <w:jc w:val="center"/>
        </w:trPr>
        <w:tc>
          <w:tcPr>
            <w:tcW w:w="2642" w:type="dxa"/>
            <w:tcBorders>
              <w:top w:val="single" w:color="auto" w:sz="4" w:space="0"/>
              <w:left w:val="single" w:color="auto" w:sz="4" w:space="0"/>
            </w:tcBorders>
            <w:shd w:val="clear" w:color="auto" w:fill="FFFFFF"/>
            <w:vAlign w:val="center"/>
          </w:tcPr>
          <w:p>
            <w:pPr>
              <w:pStyle w:val="20"/>
              <w:spacing w:line="240" w:lineRule="auto"/>
              <w:ind w:firstLine="0"/>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活动项目</w:t>
            </w:r>
          </w:p>
        </w:tc>
        <w:tc>
          <w:tcPr>
            <w:tcW w:w="4450" w:type="dxa"/>
            <w:tcBorders>
              <w:top w:val="single" w:color="auto" w:sz="4" w:space="0"/>
              <w:left w:val="single" w:color="auto" w:sz="4" w:space="0"/>
            </w:tcBorders>
            <w:shd w:val="clear" w:color="auto" w:fill="FFFFFF"/>
            <w:vAlign w:val="center"/>
          </w:tcPr>
          <w:p>
            <w:pPr>
              <w:pStyle w:val="20"/>
              <w:spacing w:line="240" w:lineRule="auto"/>
              <w:ind w:firstLine="0"/>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内容要求</w:t>
            </w:r>
          </w:p>
        </w:tc>
        <w:tc>
          <w:tcPr>
            <w:tcW w:w="6804" w:type="dxa"/>
            <w:gridSpan w:val="2"/>
            <w:tcBorders>
              <w:top w:val="single" w:color="auto" w:sz="4" w:space="0"/>
              <w:left w:val="single" w:color="auto" w:sz="4" w:space="0"/>
              <w:right w:val="single" w:color="auto" w:sz="4" w:space="0"/>
            </w:tcBorders>
            <w:shd w:val="clear" w:color="auto" w:fill="FFFFFF"/>
            <w:vAlign w:val="center"/>
          </w:tcPr>
          <w:p>
            <w:pPr>
              <w:pStyle w:val="20"/>
              <w:spacing w:line="240" w:lineRule="auto"/>
              <w:ind w:firstLine="0"/>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活动进展情况</w:t>
            </w:r>
          </w:p>
        </w:tc>
      </w:tr>
      <w:tr>
        <w:tblPrEx>
          <w:tblCellMar>
            <w:top w:w="0" w:type="dxa"/>
            <w:left w:w="10" w:type="dxa"/>
            <w:bottom w:w="0" w:type="dxa"/>
            <w:right w:w="10" w:type="dxa"/>
          </w:tblCellMar>
        </w:tblPrEx>
        <w:trPr>
          <w:gridAfter w:val="1"/>
          <w:wAfter w:w="7" w:type="dxa"/>
          <w:trHeight w:val="1966" w:hRule="exact"/>
          <w:jc w:val="center"/>
        </w:trPr>
        <w:tc>
          <w:tcPr>
            <w:tcW w:w="2642" w:type="dxa"/>
            <w:tcBorders>
              <w:top w:val="single" w:color="auto" w:sz="4" w:space="0"/>
              <w:left w:val="single" w:color="auto" w:sz="4" w:space="0"/>
            </w:tcBorders>
            <w:shd w:val="clear" w:color="auto" w:fill="FFFFFF"/>
            <w:vAlign w:val="center"/>
          </w:tcPr>
          <w:p>
            <w:pPr>
              <w:pStyle w:val="20"/>
              <w:spacing w:line="310" w:lineRule="exact"/>
              <w:ind w:firstLine="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学习贯彻习近平总书记关于安全生产重要论述</w:t>
            </w:r>
          </w:p>
        </w:tc>
        <w:tc>
          <w:tcPr>
            <w:tcW w:w="4450" w:type="dxa"/>
            <w:tcBorders>
              <w:top w:val="single" w:color="auto" w:sz="4" w:space="0"/>
              <w:left w:val="single" w:color="auto" w:sz="4" w:space="0"/>
            </w:tcBorders>
            <w:shd w:val="clear" w:color="auto" w:fill="FFFFFF"/>
            <w:vAlign w:val="center"/>
          </w:tcPr>
          <w:p>
            <w:pPr>
              <w:pStyle w:val="20"/>
              <w:spacing w:line="317" w:lineRule="exact"/>
              <w:ind w:firstLine="48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学习贯彻习近平总书记关于安全生产重要 论述，集中学习《生命重于泰山》电视专题片， 推动</w:t>
            </w:r>
            <w:r>
              <w:rPr>
                <w:rFonts w:hint="eastAsia" w:ascii="仿宋_GB2312" w:hAnsi="仿宋_GB2312" w:eastAsia="仿宋_GB2312" w:cs="仿宋_GB2312"/>
                <w:color w:val="auto"/>
                <w:sz w:val="24"/>
                <w:szCs w:val="24"/>
                <w:lang w:val="en-US" w:eastAsia="zh-CN"/>
              </w:rPr>
              <w:t>落实河南省贯彻落实国务院安委会全面加强安全生产“十五条硬措施”实施意见。</w:t>
            </w:r>
          </w:p>
        </w:tc>
        <w:tc>
          <w:tcPr>
            <w:tcW w:w="6804" w:type="dxa"/>
            <w:gridSpan w:val="2"/>
            <w:tcBorders>
              <w:top w:val="single" w:color="auto" w:sz="4" w:space="0"/>
              <w:left w:val="single" w:color="auto" w:sz="4" w:space="0"/>
              <w:right w:val="single" w:color="auto" w:sz="4" w:space="0"/>
            </w:tcBorders>
            <w:shd w:val="clear" w:color="auto" w:fill="FFFFFF"/>
            <w:vAlign w:val="center"/>
          </w:tcPr>
          <w:p>
            <w:pPr>
              <w:pStyle w:val="20"/>
              <w:spacing w:line="317" w:lineRule="exact"/>
              <w:ind w:firstLine="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专题研讨、集中宣讲、培训辅导等（）场，参与（）人次； 开展安全生产</w:t>
            </w:r>
            <w:r>
              <w:rPr>
                <w:rFonts w:hint="eastAsia" w:ascii="仿宋_GB2312" w:hAnsi="仿宋_GB2312" w:eastAsia="仿宋_GB2312" w:cs="仿宋_GB2312"/>
                <w:color w:val="auto"/>
                <w:sz w:val="24"/>
                <w:szCs w:val="24"/>
                <w:lang w:val="zh-CN" w:eastAsia="zh-CN" w:bidi="zh-CN"/>
              </w:rPr>
              <w:t>“公</w:t>
            </w:r>
            <w:r>
              <w:rPr>
                <w:rFonts w:hint="eastAsia" w:ascii="仿宋_GB2312" w:hAnsi="仿宋_GB2312" w:eastAsia="仿宋_GB2312" w:cs="仿宋_GB2312"/>
                <w:color w:val="auto"/>
                <w:sz w:val="24"/>
                <w:szCs w:val="24"/>
              </w:rPr>
              <w:t>开课</w:t>
            </w:r>
            <w:r>
              <w:rPr>
                <w:rFonts w:hint="eastAsia" w:ascii="仿宋_GB2312" w:hAnsi="仿宋_GB2312" w:eastAsia="仿宋_GB2312" w:cs="仿宋_GB2312"/>
                <w:color w:val="auto"/>
                <w:sz w:val="24"/>
                <w:szCs w:val="24"/>
                <w:lang w:val="zh-CN" w:eastAsia="zh-CN" w:bidi="zh-CN"/>
              </w:rPr>
              <w:t>”“大</w:t>
            </w:r>
            <w:r>
              <w:rPr>
                <w:rFonts w:hint="eastAsia" w:ascii="仿宋_GB2312" w:hAnsi="仿宋_GB2312" w:eastAsia="仿宋_GB2312" w:cs="仿宋_GB2312"/>
                <w:color w:val="auto"/>
                <w:sz w:val="24"/>
                <w:szCs w:val="24"/>
              </w:rPr>
              <w:t>家谈</w:t>
            </w:r>
            <w:r>
              <w:rPr>
                <w:rFonts w:hint="eastAsia" w:ascii="仿宋_GB2312" w:hAnsi="仿宋_GB2312" w:eastAsia="仿宋_GB2312" w:cs="仿宋_GB2312"/>
                <w:color w:val="auto"/>
                <w:sz w:val="24"/>
                <w:szCs w:val="24"/>
                <w:lang w:val="zh-CN" w:eastAsia="zh-CN" w:bidi="zh-CN"/>
              </w:rPr>
              <w:t>”“班</w:t>
            </w:r>
            <w:r>
              <w:rPr>
                <w:rFonts w:hint="eastAsia" w:ascii="仿宋_GB2312" w:hAnsi="仿宋_GB2312" w:eastAsia="仿宋_GB2312" w:cs="仿宋_GB2312"/>
                <w:color w:val="auto"/>
                <w:sz w:val="24"/>
                <w:szCs w:val="24"/>
              </w:rPr>
              <w:t>组会</w:t>
            </w:r>
            <w:r>
              <w:rPr>
                <w:rFonts w:hint="eastAsia" w:ascii="仿宋_GB2312" w:hAnsi="仿宋_GB2312" w:eastAsia="仿宋_GB2312" w:cs="仿宋_GB2312"/>
                <w:color w:val="auto"/>
                <w:sz w:val="24"/>
                <w:szCs w:val="24"/>
                <w:lang w:val="zh-CN" w:eastAsia="zh-CN" w:bidi="zh-CN"/>
              </w:rPr>
              <w:t>”等学</w:t>
            </w:r>
            <w:r>
              <w:rPr>
                <w:rFonts w:hint="eastAsia" w:ascii="仿宋_GB2312" w:hAnsi="仿宋_GB2312" w:eastAsia="仿宋_GB2312" w:cs="仿宋_GB2312"/>
                <w:color w:val="auto"/>
                <w:sz w:val="24"/>
                <w:szCs w:val="24"/>
              </w:rPr>
              <w:t>习活动（）场，参与（）人次。</w:t>
            </w:r>
          </w:p>
        </w:tc>
      </w:tr>
      <w:tr>
        <w:tblPrEx>
          <w:tblCellMar>
            <w:top w:w="0" w:type="dxa"/>
            <w:left w:w="10" w:type="dxa"/>
            <w:bottom w:w="0" w:type="dxa"/>
            <w:right w:w="10" w:type="dxa"/>
          </w:tblCellMar>
        </w:tblPrEx>
        <w:trPr>
          <w:gridAfter w:val="1"/>
          <w:wAfter w:w="7" w:type="dxa"/>
          <w:trHeight w:val="3161" w:hRule="exact"/>
          <w:jc w:val="center"/>
        </w:trPr>
        <w:tc>
          <w:tcPr>
            <w:tcW w:w="2642" w:type="dxa"/>
            <w:tcBorders>
              <w:top w:val="single" w:color="auto" w:sz="4" w:space="0"/>
              <w:left w:val="single" w:color="auto" w:sz="4" w:space="0"/>
              <w:bottom w:val="single" w:color="auto" w:sz="4" w:space="0"/>
            </w:tcBorders>
            <w:shd w:val="clear" w:color="auto" w:fill="FFFFFF"/>
            <w:vAlign w:val="center"/>
          </w:tcPr>
          <w:p>
            <w:pPr>
              <w:pStyle w:val="20"/>
              <w:spacing w:line="240" w:lineRule="auto"/>
              <w:ind w:firstLine="240" w:firstLineChars="1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宣传贯彻安全生产法</w:t>
            </w:r>
          </w:p>
        </w:tc>
        <w:tc>
          <w:tcPr>
            <w:tcW w:w="4450" w:type="dxa"/>
            <w:tcBorders>
              <w:top w:val="single" w:color="auto" w:sz="4" w:space="0"/>
              <w:left w:val="single" w:color="auto" w:sz="4" w:space="0"/>
              <w:bottom w:val="single" w:color="auto" w:sz="4" w:space="0"/>
            </w:tcBorders>
            <w:shd w:val="clear" w:color="auto" w:fill="FFFFFF"/>
            <w:vAlign w:val="center"/>
          </w:tcPr>
          <w:p>
            <w:pPr>
              <w:pStyle w:val="20"/>
              <w:spacing w:line="310" w:lineRule="exact"/>
              <w:ind w:firstLine="48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开展安全生产法主题宣传活动，推动</w:t>
            </w:r>
            <w:r>
              <w:rPr>
                <w:rFonts w:hint="eastAsia" w:ascii="仿宋_GB2312" w:hAnsi="仿宋_GB2312" w:eastAsia="仿宋_GB2312" w:cs="仿宋_GB2312"/>
                <w:color w:val="auto"/>
                <w:sz w:val="24"/>
                <w:szCs w:val="24"/>
                <w:lang w:val="zh-CN" w:eastAsia="zh-CN" w:bidi="zh-CN"/>
              </w:rPr>
              <w:t>“第</w:t>
            </w:r>
            <w:r>
              <w:rPr>
                <w:rFonts w:hint="eastAsia" w:ascii="仿宋_GB2312" w:hAnsi="仿宋_GB2312" w:eastAsia="仿宋_GB2312" w:cs="仿宋_GB2312"/>
                <w:color w:val="auto"/>
                <w:sz w:val="24"/>
                <w:szCs w:val="24"/>
              </w:rPr>
              <w:t>一责任人”守法履责，加大以案释法和以案普 法的宣传力度。</w:t>
            </w:r>
          </w:p>
        </w:tc>
        <w:tc>
          <w:tcPr>
            <w:tcW w:w="680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0"/>
              <w:spacing w:line="317" w:lineRule="exact"/>
              <w:ind w:firstLine="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组织开展全员应急救援演练和知识技能培训（）场，参与（）人次； 参与</w:t>
            </w:r>
            <w:r>
              <w:rPr>
                <w:rFonts w:hint="eastAsia" w:ascii="仿宋_GB2312" w:hAnsi="仿宋_GB2312" w:eastAsia="仿宋_GB2312" w:cs="仿宋_GB2312"/>
                <w:color w:val="auto"/>
                <w:sz w:val="24"/>
                <w:szCs w:val="24"/>
                <w:lang w:val="zh-CN" w:eastAsia="zh-CN" w:bidi="zh-CN"/>
              </w:rPr>
              <w:t>“第一</w:t>
            </w:r>
            <w:r>
              <w:rPr>
                <w:rFonts w:hint="eastAsia" w:ascii="仿宋_GB2312" w:hAnsi="仿宋_GB2312" w:eastAsia="仿宋_GB2312" w:cs="仿宋_GB2312"/>
                <w:color w:val="auto"/>
                <w:sz w:val="24"/>
                <w:szCs w:val="24"/>
              </w:rPr>
              <w:t>责任人安全倡议书”活动（）人次；</w:t>
            </w:r>
          </w:p>
          <w:p>
            <w:pPr>
              <w:pStyle w:val="20"/>
              <w:spacing w:line="317" w:lineRule="exact"/>
              <w:ind w:firstLine="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曝光企业主体责任落实不到位被实行</w:t>
            </w:r>
            <w:r>
              <w:rPr>
                <w:rFonts w:hint="eastAsia" w:ascii="仿宋_GB2312" w:hAnsi="仿宋_GB2312" w:eastAsia="仿宋_GB2312" w:cs="仿宋_GB2312"/>
                <w:color w:val="auto"/>
                <w:sz w:val="24"/>
                <w:szCs w:val="24"/>
                <w:lang w:val="zh-CN" w:eastAsia="zh-CN" w:bidi="zh-CN"/>
              </w:rPr>
              <w:t>“一</w:t>
            </w:r>
            <w:r>
              <w:rPr>
                <w:rFonts w:hint="eastAsia" w:ascii="仿宋_GB2312" w:hAnsi="仿宋_GB2312" w:eastAsia="仿宋_GB2312" w:cs="仿宋_GB2312"/>
                <w:color w:val="auto"/>
                <w:sz w:val="24"/>
                <w:szCs w:val="24"/>
              </w:rPr>
              <w:t>案双罚”、安全生产行刑衔接、 因发生生产安全事故构成重大责任事故罪的典型案例（）个； 开展</w:t>
            </w:r>
            <w:r>
              <w:rPr>
                <w:rFonts w:hint="eastAsia" w:ascii="仿宋_GB2312" w:hAnsi="仿宋_GB2312" w:eastAsia="仿宋_GB2312" w:cs="仿宋_GB2312"/>
                <w:color w:val="auto"/>
                <w:sz w:val="24"/>
                <w:szCs w:val="24"/>
                <w:lang w:val="zh-CN" w:eastAsia="zh-CN" w:bidi="zh-CN"/>
              </w:rPr>
              <w:t>“我</w:t>
            </w:r>
            <w:r>
              <w:rPr>
                <w:rFonts w:hint="eastAsia" w:ascii="仿宋_GB2312" w:hAnsi="仿宋_GB2312" w:eastAsia="仿宋_GB2312" w:cs="仿宋_GB2312"/>
                <w:color w:val="auto"/>
                <w:sz w:val="24"/>
                <w:szCs w:val="24"/>
              </w:rPr>
              <w:t>是安全吹哨人”，发现问题（）项；</w:t>
            </w:r>
          </w:p>
          <w:p>
            <w:pPr>
              <w:pStyle w:val="20"/>
              <w:spacing w:line="317" w:lineRule="exact"/>
              <w:ind w:firstLine="18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查</w:t>
            </w:r>
            <w:r>
              <w:rPr>
                <w:rFonts w:hint="eastAsia" w:ascii="仿宋_GB2312" w:hAnsi="仿宋_GB2312" w:eastAsia="仿宋_GB2312" w:cs="仿宋_GB2312"/>
                <w:color w:val="auto"/>
                <w:sz w:val="24"/>
                <w:szCs w:val="24"/>
              </w:rPr>
              <w:t>找身边的隐患”，査找隐患（）条。</w:t>
            </w:r>
          </w:p>
        </w:tc>
      </w:tr>
      <w:tr>
        <w:tblPrEx>
          <w:tblCellMar>
            <w:top w:w="0" w:type="dxa"/>
            <w:left w:w="10" w:type="dxa"/>
            <w:bottom w:w="0" w:type="dxa"/>
            <w:right w:w="10" w:type="dxa"/>
          </w:tblCellMar>
        </w:tblPrEx>
        <w:trPr>
          <w:trHeight w:val="3010" w:hRule="exact"/>
          <w:jc w:val="center"/>
        </w:trPr>
        <w:tc>
          <w:tcPr>
            <w:tcW w:w="2642" w:type="dxa"/>
            <w:tcBorders>
              <w:top w:val="single" w:color="auto" w:sz="4" w:space="0"/>
              <w:left w:val="single" w:color="auto" w:sz="4" w:space="0"/>
            </w:tcBorders>
            <w:shd w:val="clear" w:color="auto" w:fill="FFFFFF"/>
            <w:vAlign w:val="center"/>
          </w:tcPr>
          <w:p>
            <w:pPr>
              <w:pStyle w:val="20"/>
              <w:spacing w:line="317" w:lineRule="exact"/>
              <w:ind w:firstLine="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开展</w:t>
            </w:r>
            <w:r>
              <w:rPr>
                <w:rFonts w:hint="eastAsia" w:ascii="仿宋_GB2312" w:hAnsi="仿宋_GB2312" w:eastAsia="仿宋_GB2312" w:cs="仿宋_GB2312"/>
                <w:color w:val="auto"/>
                <w:sz w:val="24"/>
                <w:szCs w:val="24"/>
                <w:lang w:val="zh-CN" w:eastAsia="zh-CN" w:bidi="zh-CN"/>
              </w:rPr>
              <w:t>“安全</w:t>
            </w:r>
            <w:r>
              <w:rPr>
                <w:rFonts w:hint="eastAsia" w:ascii="仿宋_GB2312" w:hAnsi="仿宋_GB2312" w:eastAsia="仿宋_GB2312" w:cs="仿宋_GB2312"/>
                <w:color w:val="auto"/>
                <w:sz w:val="24"/>
                <w:szCs w:val="24"/>
              </w:rPr>
              <w:t>生产</w:t>
            </w:r>
            <w:r>
              <w:rPr>
                <w:rFonts w:hint="eastAsia" w:ascii="仿宋_GB2312" w:hAnsi="仿宋_GB2312" w:eastAsia="仿宋_GB2312" w:cs="仿宋_GB2312"/>
                <w:color w:val="auto"/>
                <w:sz w:val="24"/>
                <w:szCs w:val="24"/>
                <w:lang w:val="en-US" w:eastAsia="zh-CN"/>
              </w:rPr>
              <w:t>中原</w:t>
            </w:r>
            <w:r>
              <w:rPr>
                <w:rFonts w:hint="eastAsia" w:ascii="仿宋_GB2312" w:hAnsi="仿宋_GB2312" w:eastAsia="仿宋_GB2312" w:cs="仿宋_GB2312"/>
                <w:color w:val="auto"/>
                <w:sz w:val="24"/>
                <w:szCs w:val="24"/>
              </w:rPr>
              <w:t>行”活动</w:t>
            </w:r>
          </w:p>
        </w:tc>
        <w:tc>
          <w:tcPr>
            <w:tcW w:w="4457" w:type="dxa"/>
            <w:gridSpan w:val="2"/>
            <w:tcBorders>
              <w:top w:val="single" w:color="auto" w:sz="4" w:space="0"/>
              <w:left w:val="single" w:color="auto" w:sz="4" w:space="0"/>
            </w:tcBorders>
            <w:shd w:val="clear" w:color="auto" w:fill="FFFFFF"/>
            <w:vAlign w:val="center"/>
          </w:tcPr>
          <w:p>
            <w:pPr>
              <w:pStyle w:val="20"/>
              <w:spacing w:line="313" w:lineRule="exact"/>
              <w:ind w:firstLine="500"/>
              <w:jc w:val="both"/>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组织开展</w:t>
            </w:r>
            <w:r>
              <w:rPr>
                <w:rFonts w:hint="eastAsia" w:ascii="仿宋_GB2312" w:hAnsi="仿宋_GB2312" w:eastAsia="仿宋_GB2312" w:cs="仿宋_GB2312"/>
                <w:color w:val="auto"/>
                <w:sz w:val="24"/>
                <w:szCs w:val="24"/>
                <w:lang w:val="zh-CN" w:eastAsia="zh-CN" w:bidi="zh-CN"/>
              </w:rPr>
              <w:t>“安全</w:t>
            </w:r>
            <w:r>
              <w:rPr>
                <w:rFonts w:hint="eastAsia" w:ascii="仿宋_GB2312" w:hAnsi="仿宋_GB2312" w:eastAsia="仿宋_GB2312" w:cs="仿宋_GB2312"/>
                <w:color w:val="auto"/>
                <w:sz w:val="24"/>
                <w:szCs w:val="24"/>
              </w:rPr>
              <w:t>生产</w:t>
            </w:r>
            <w:r>
              <w:rPr>
                <w:rFonts w:hint="eastAsia" w:ascii="仿宋_GB2312" w:hAnsi="仿宋_GB2312" w:eastAsia="仿宋_GB2312" w:cs="仿宋_GB2312"/>
                <w:color w:val="auto"/>
                <w:sz w:val="24"/>
                <w:szCs w:val="24"/>
                <w:lang w:val="en-US" w:eastAsia="zh-CN"/>
              </w:rPr>
              <w:t>中原</w:t>
            </w:r>
            <w:r>
              <w:rPr>
                <w:rFonts w:hint="eastAsia" w:ascii="仿宋_GB2312" w:hAnsi="仿宋_GB2312" w:eastAsia="仿宋_GB2312" w:cs="仿宋_GB2312"/>
                <w:color w:val="auto"/>
                <w:sz w:val="24"/>
                <w:szCs w:val="24"/>
              </w:rPr>
              <w:t>行”专题行、区域行、网上行等活动；开展警示教育，组织观看安全生产警示教育片、专题展；报道各地打非治违和排</w:t>
            </w:r>
            <w:r>
              <w:rPr>
                <w:rFonts w:hint="eastAsia" w:ascii="仿宋_GB2312" w:hAnsi="仿宋_GB2312" w:eastAsia="仿宋_GB2312" w:cs="仿宋_GB2312"/>
                <w:color w:val="auto"/>
                <w:sz w:val="24"/>
                <w:szCs w:val="24"/>
                <w:lang w:val="en-US" w:eastAsia="zh-CN"/>
              </w:rPr>
              <w:t>查</w:t>
            </w:r>
            <w:r>
              <w:rPr>
                <w:rFonts w:hint="eastAsia" w:ascii="仿宋_GB2312" w:hAnsi="仿宋_GB2312" w:eastAsia="仿宋_GB2312" w:cs="仿宋_GB2312"/>
                <w:color w:val="auto"/>
                <w:sz w:val="24"/>
                <w:szCs w:val="24"/>
              </w:rPr>
              <w:t>治理进展成效；鼓励社会公众举报安全生产重大隐患和违法行为，发挥媒体监督作用，集中曝光突出问题，每月至少在</w:t>
            </w: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级主流媒体曝光</w:t>
            </w:r>
            <w:r>
              <w:rPr>
                <w:rFonts w:hint="eastAsia" w:ascii="仿宋_GB2312" w:hAnsi="仿宋_GB2312" w:eastAsia="仿宋_GB2312" w:cs="仿宋_GB2312"/>
                <w:color w:val="auto"/>
                <w:sz w:val="24"/>
                <w:szCs w:val="24"/>
                <w:lang w:val="en-US" w:eastAsia="zh-CN" w:bidi="en-US"/>
              </w:rPr>
              <w:t>1-2</w:t>
            </w:r>
            <w:r>
              <w:rPr>
                <w:rFonts w:hint="eastAsia" w:ascii="仿宋_GB2312" w:hAnsi="仿宋_GB2312" w:eastAsia="仿宋_GB2312" w:cs="仿宋_GB2312"/>
                <w:color w:val="auto"/>
                <w:sz w:val="24"/>
                <w:szCs w:val="24"/>
              </w:rPr>
              <w:t>个典型案例，并向</w:t>
            </w:r>
            <w:r>
              <w:rPr>
                <w:rFonts w:hint="eastAsia" w:ascii="仿宋_GB2312" w:hAnsi="仿宋_GB2312" w:eastAsia="仿宋_GB2312" w:cs="仿宋_GB2312"/>
                <w:color w:val="auto"/>
                <w:sz w:val="24"/>
                <w:szCs w:val="24"/>
                <w:lang w:val="en-US" w:eastAsia="zh-CN"/>
              </w:rPr>
              <w:t>市安委办</w:t>
            </w:r>
            <w:r>
              <w:rPr>
                <w:rFonts w:hint="eastAsia" w:ascii="仿宋_GB2312" w:hAnsi="仿宋_GB2312" w:eastAsia="仿宋_GB2312" w:cs="仿宋_GB2312"/>
                <w:color w:val="auto"/>
                <w:sz w:val="24"/>
                <w:szCs w:val="24"/>
              </w:rPr>
              <w:t>报送情况。</w:t>
            </w:r>
          </w:p>
        </w:tc>
        <w:tc>
          <w:tcPr>
            <w:tcW w:w="6804" w:type="dxa"/>
            <w:gridSpan w:val="2"/>
            <w:tcBorders>
              <w:top w:val="single" w:color="auto" w:sz="4" w:space="0"/>
              <w:left w:val="single" w:color="auto" w:sz="4" w:space="0"/>
              <w:right w:val="single" w:color="auto" w:sz="4" w:space="0"/>
            </w:tcBorders>
            <w:shd w:val="clear" w:color="auto" w:fill="FFFFFF"/>
            <w:vAlign w:val="center"/>
          </w:tcPr>
          <w:p>
            <w:pPr>
              <w:pStyle w:val="20"/>
              <w:spacing w:line="310" w:lineRule="exact"/>
              <w:ind w:firstLine="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组织观看安全生产警示教育片、专题展（）场，参与（）人次； 报道各地打非治违和排査治理进展成效（）条；</w:t>
            </w:r>
          </w:p>
          <w:p>
            <w:pPr>
              <w:pStyle w:val="20"/>
              <w:spacing w:line="310" w:lineRule="exact"/>
              <w:ind w:firstLine="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社会公众举报安全生产重大隐患和违法行为（）项； 发挥媒体监督作用，集中曝光突出问题（）个； 向</w:t>
            </w:r>
            <w:r>
              <w:rPr>
                <w:rFonts w:hint="eastAsia" w:ascii="仿宋_GB2312" w:hAnsi="仿宋_GB2312" w:eastAsia="仿宋_GB2312" w:cs="仿宋_GB2312"/>
                <w:color w:val="auto"/>
                <w:sz w:val="24"/>
                <w:szCs w:val="24"/>
                <w:lang w:val="en-US" w:eastAsia="zh-CN"/>
              </w:rPr>
              <w:t>市安委</w:t>
            </w:r>
            <w:r>
              <w:rPr>
                <w:rFonts w:hint="eastAsia" w:ascii="仿宋_GB2312" w:hAnsi="仿宋_GB2312" w:eastAsia="仿宋_GB2312" w:cs="仿宋_GB2312"/>
                <w:color w:val="auto"/>
                <w:sz w:val="24"/>
                <w:szCs w:val="24"/>
              </w:rPr>
              <w:t>办</w:t>
            </w:r>
            <w:r>
              <w:rPr>
                <w:rFonts w:hint="eastAsia" w:ascii="仿宋_GB2312" w:hAnsi="仿宋_GB2312" w:eastAsia="仿宋_GB2312" w:cs="仿宋_GB2312"/>
                <w:color w:val="auto"/>
                <w:sz w:val="24"/>
                <w:szCs w:val="24"/>
                <w:lang w:val="en-US" w:eastAsia="zh-CN"/>
              </w:rPr>
              <w:t>报</w:t>
            </w:r>
            <w:r>
              <w:rPr>
                <w:rFonts w:hint="eastAsia" w:ascii="仿宋_GB2312" w:hAnsi="仿宋_GB2312" w:eastAsia="仿宋_GB2312" w:cs="仿宋_GB2312"/>
                <w:color w:val="auto"/>
                <w:sz w:val="24"/>
                <w:szCs w:val="24"/>
              </w:rPr>
              <w:t>送典型案例（）个。</w:t>
            </w:r>
          </w:p>
        </w:tc>
      </w:tr>
      <w:tr>
        <w:tblPrEx>
          <w:tblCellMar>
            <w:top w:w="0" w:type="dxa"/>
            <w:left w:w="10" w:type="dxa"/>
            <w:bottom w:w="0" w:type="dxa"/>
            <w:right w:w="10" w:type="dxa"/>
          </w:tblCellMar>
        </w:tblPrEx>
        <w:trPr>
          <w:trHeight w:val="2964" w:hRule="exact"/>
          <w:jc w:val="center"/>
        </w:trPr>
        <w:tc>
          <w:tcPr>
            <w:tcW w:w="2642" w:type="dxa"/>
            <w:tcBorders>
              <w:top w:val="single" w:color="auto" w:sz="4" w:space="0"/>
              <w:left w:val="single" w:color="auto" w:sz="4" w:space="0"/>
            </w:tcBorders>
            <w:shd w:val="clear" w:color="auto" w:fill="FFFFFF"/>
            <w:vAlign w:val="center"/>
          </w:tcPr>
          <w:p>
            <w:pPr>
              <w:pStyle w:val="20"/>
              <w:spacing w:line="317" w:lineRule="exact"/>
              <w:ind w:firstLine="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开展</w:t>
            </w:r>
            <w:r>
              <w:rPr>
                <w:rFonts w:hint="eastAsia" w:ascii="仿宋_GB2312" w:hAnsi="仿宋_GB2312" w:eastAsia="仿宋_GB2312" w:cs="仿宋_GB2312"/>
                <w:color w:val="auto"/>
                <w:sz w:val="24"/>
                <w:szCs w:val="24"/>
                <w:lang w:val="zh-CN" w:eastAsia="zh-CN" w:bidi="zh-CN"/>
              </w:rPr>
              <w:t>“安</w:t>
            </w:r>
            <w:r>
              <w:rPr>
                <w:rFonts w:hint="eastAsia" w:ascii="仿宋_GB2312" w:hAnsi="仿宋_GB2312" w:eastAsia="仿宋_GB2312" w:cs="仿宋_GB2312"/>
                <w:color w:val="auto"/>
                <w:sz w:val="24"/>
                <w:szCs w:val="24"/>
              </w:rPr>
              <w:t>全宣传咨询日</w:t>
            </w:r>
            <w:r>
              <w:rPr>
                <w:rFonts w:hint="eastAsia" w:ascii="仿宋_GB2312" w:hAnsi="仿宋_GB2312" w:eastAsia="仿宋_GB2312" w:cs="仿宋_GB2312"/>
                <w:color w:val="auto"/>
                <w:sz w:val="24"/>
                <w:szCs w:val="24"/>
                <w:lang w:val="zh-CN" w:eastAsia="zh-CN" w:bidi="zh-CN"/>
              </w:rPr>
              <w:t>”、</w:t>
            </w:r>
            <w:r>
              <w:rPr>
                <w:rFonts w:hint="eastAsia" w:ascii="仿宋_GB2312" w:hAnsi="仿宋_GB2312" w:eastAsia="仿宋_GB2312" w:cs="仿宋_GB2312"/>
                <w:color w:val="auto"/>
                <w:sz w:val="24"/>
                <w:szCs w:val="24"/>
              </w:rPr>
              <w:t>安全宣传</w:t>
            </w:r>
            <w:r>
              <w:rPr>
                <w:rFonts w:hint="eastAsia" w:ascii="仿宋_GB2312" w:hAnsi="仿宋_GB2312" w:eastAsia="仿宋_GB2312" w:cs="仿宋_GB2312"/>
                <w:color w:val="auto"/>
                <w:sz w:val="24"/>
                <w:szCs w:val="24"/>
                <w:lang w:val="zh-CN" w:eastAsia="zh-CN" w:bidi="zh-CN"/>
              </w:rPr>
              <w:t>“五</w:t>
            </w:r>
            <w:r>
              <w:rPr>
                <w:rFonts w:hint="eastAsia" w:ascii="仿宋_GB2312" w:hAnsi="仿宋_GB2312" w:eastAsia="仿宋_GB2312" w:cs="仿宋_GB2312"/>
                <w:color w:val="auto"/>
                <w:sz w:val="24"/>
                <w:szCs w:val="24"/>
              </w:rPr>
              <w:t>进”</w:t>
            </w:r>
            <w:r>
              <w:rPr>
                <w:rFonts w:hint="eastAsia" w:ascii="仿宋_GB2312" w:hAnsi="仿宋_GB2312" w:eastAsia="仿宋_GB2312" w:cs="仿宋_GB2312"/>
                <w:color w:val="auto"/>
                <w:sz w:val="24"/>
                <w:szCs w:val="24"/>
                <w:lang w:val="en-US" w:eastAsia="zh-CN"/>
              </w:rPr>
              <w:t>和应急演练</w:t>
            </w:r>
            <w:r>
              <w:rPr>
                <w:rFonts w:hint="eastAsia" w:ascii="仿宋_GB2312" w:hAnsi="仿宋_GB2312" w:eastAsia="仿宋_GB2312" w:cs="仿宋_GB2312"/>
                <w:color w:val="auto"/>
                <w:sz w:val="24"/>
                <w:szCs w:val="24"/>
              </w:rPr>
              <w:t>活动</w:t>
            </w:r>
          </w:p>
        </w:tc>
        <w:tc>
          <w:tcPr>
            <w:tcW w:w="4457" w:type="dxa"/>
            <w:gridSpan w:val="2"/>
            <w:tcBorders>
              <w:top w:val="single" w:color="auto" w:sz="4" w:space="0"/>
              <w:left w:val="single" w:color="auto" w:sz="4" w:space="0"/>
            </w:tcBorders>
            <w:shd w:val="clear" w:color="auto" w:fill="FFFFFF"/>
            <w:vAlign w:val="center"/>
          </w:tcPr>
          <w:p>
            <w:pPr>
              <w:pStyle w:val="20"/>
              <w:spacing w:line="312" w:lineRule="exact"/>
              <w:ind w:firstLine="440"/>
              <w:jc w:val="both"/>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开展群众喜闻乐见、形式多样、线上线下相结合的安全宣传咨询活动；组织开展</w:t>
            </w:r>
            <w:r>
              <w:rPr>
                <w:rFonts w:hint="eastAsia" w:ascii="仿宋_GB2312" w:hAnsi="仿宋_GB2312" w:eastAsia="仿宋_GB2312" w:cs="仿宋_GB2312"/>
                <w:color w:val="auto"/>
                <w:sz w:val="24"/>
                <w:szCs w:val="24"/>
                <w:lang w:val="zh-CN" w:eastAsia="zh-CN" w:bidi="zh-CN"/>
              </w:rPr>
              <w:t xml:space="preserve">“安全 </w:t>
            </w:r>
            <w:r>
              <w:rPr>
                <w:rFonts w:hint="eastAsia" w:ascii="仿宋_GB2312" w:hAnsi="仿宋_GB2312" w:eastAsia="仿宋_GB2312" w:cs="仿宋_GB2312"/>
                <w:color w:val="auto"/>
                <w:sz w:val="24"/>
                <w:szCs w:val="24"/>
              </w:rPr>
              <w:t>宣传全屏传播”；推动安委会成员单位加强协调联动和资源投入。</w:t>
            </w:r>
          </w:p>
        </w:tc>
        <w:tc>
          <w:tcPr>
            <w:tcW w:w="6804" w:type="dxa"/>
            <w:gridSpan w:val="2"/>
            <w:tcBorders>
              <w:top w:val="single" w:color="auto" w:sz="4" w:space="0"/>
              <w:left w:val="single" w:color="auto" w:sz="4" w:space="0"/>
              <w:right w:val="single" w:color="auto" w:sz="4" w:space="0"/>
            </w:tcBorders>
            <w:shd w:val="clear" w:color="auto" w:fill="FFFFFF"/>
            <w:vAlign w:val="center"/>
          </w:tcPr>
          <w:p>
            <w:pPr>
              <w:pStyle w:val="20"/>
              <w:spacing w:line="313" w:lineRule="exact"/>
              <w:ind w:firstLine="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开展</w:t>
            </w:r>
            <w:r>
              <w:rPr>
                <w:rFonts w:hint="eastAsia" w:ascii="仿宋_GB2312" w:hAnsi="仿宋_GB2312" w:eastAsia="仿宋_GB2312" w:cs="仿宋_GB2312"/>
                <w:color w:val="auto"/>
                <w:sz w:val="24"/>
                <w:szCs w:val="24"/>
                <w:lang w:val="zh-CN" w:eastAsia="zh-CN" w:bidi="zh-CN"/>
              </w:rPr>
              <w:t>“主播</w:t>
            </w:r>
            <w:r>
              <w:rPr>
                <w:rFonts w:hint="eastAsia" w:ascii="仿宋_GB2312" w:hAnsi="仿宋_GB2312" w:eastAsia="仿宋_GB2312" w:cs="仿宋_GB2312"/>
                <w:color w:val="auto"/>
                <w:sz w:val="24"/>
                <w:szCs w:val="24"/>
              </w:rPr>
              <w:t>讲安全</w:t>
            </w:r>
            <w:r>
              <w:rPr>
                <w:rFonts w:hint="eastAsia" w:ascii="仿宋_GB2312" w:hAnsi="仿宋_GB2312" w:eastAsia="仿宋_GB2312" w:cs="仿宋_GB2312"/>
                <w:color w:val="auto"/>
                <w:sz w:val="24"/>
                <w:szCs w:val="24"/>
                <w:lang w:val="zh-CN" w:eastAsia="zh-CN" w:bidi="zh-CN"/>
              </w:rPr>
              <w:t>”“专</w:t>
            </w:r>
            <w:r>
              <w:rPr>
                <w:rFonts w:hint="eastAsia" w:ascii="仿宋_GB2312" w:hAnsi="仿宋_GB2312" w:eastAsia="仿宋_GB2312" w:cs="仿宋_GB2312"/>
                <w:color w:val="auto"/>
                <w:sz w:val="24"/>
                <w:szCs w:val="24"/>
              </w:rPr>
              <w:t>家远程会诊”（）场，参与（）人次；</w:t>
            </w:r>
          </w:p>
          <w:p>
            <w:pPr>
              <w:pStyle w:val="20"/>
              <w:spacing w:line="313" w:lineRule="exact"/>
              <w:ind w:firstLine="16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zh-CN" w:eastAsia="zh-CN" w:bidi="zh-CN"/>
              </w:rPr>
              <w:t>“美好</w:t>
            </w:r>
            <w:r>
              <w:rPr>
                <w:rFonts w:hint="eastAsia" w:ascii="仿宋_GB2312" w:hAnsi="仿宋_GB2312" w:eastAsia="仿宋_GB2312" w:cs="仿宋_GB2312"/>
                <w:color w:val="auto"/>
                <w:sz w:val="24"/>
                <w:szCs w:val="24"/>
              </w:rPr>
              <w:t>生活从安全开始话题征集”（）条，参与（）人次；</w:t>
            </w:r>
          </w:p>
          <w:p>
            <w:pPr>
              <w:pStyle w:val="20"/>
              <w:spacing w:line="313" w:lineRule="exact"/>
              <w:ind w:firstLine="160"/>
              <w:jc w:val="both"/>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zh-CN" w:eastAsia="zh-CN" w:bidi="zh-CN"/>
              </w:rPr>
              <w:t>“新</w:t>
            </w:r>
            <w:r>
              <w:rPr>
                <w:rFonts w:hint="eastAsia" w:ascii="仿宋_GB2312" w:hAnsi="仿宋_GB2312" w:eastAsia="仿宋_GB2312" w:cs="仿宋_GB2312"/>
                <w:color w:val="auto"/>
                <w:sz w:val="24"/>
                <w:szCs w:val="24"/>
              </w:rPr>
              <w:t>安法知多少</w:t>
            </w:r>
            <w:r>
              <w:rPr>
                <w:rFonts w:hint="eastAsia" w:ascii="仿宋_GB2312" w:hAnsi="仿宋_GB2312" w:eastAsia="仿宋_GB2312" w:cs="仿宋_GB2312"/>
                <w:color w:val="auto"/>
                <w:sz w:val="24"/>
                <w:szCs w:val="24"/>
                <w:lang w:val="zh-CN" w:eastAsia="zh-CN" w:bidi="zh-CN"/>
              </w:rPr>
              <w:t>”“救</w:t>
            </w:r>
            <w:r>
              <w:rPr>
                <w:rFonts w:hint="eastAsia" w:ascii="仿宋_GB2312" w:hAnsi="仿宋_GB2312" w:eastAsia="仿宋_GB2312" w:cs="仿宋_GB2312"/>
                <w:color w:val="auto"/>
                <w:sz w:val="24"/>
                <w:szCs w:val="24"/>
              </w:rPr>
              <w:t>援技能趣味测试”等活动（）场，参与（）人次； 制作公益广告、海报、短视频、提示语音等（）条/份，宣传受众（） 人次；</w:t>
            </w:r>
          </w:p>
          <w:p>
            <w:pPr>
              <w:pStyle w:val="20"/>
              <w:spacing w:line="313" w:lineRule="exact"/>
              <w:ind w:firstLine="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开展</w:t>
            </w:r>
            <w:r>
              <w:rPr>
                <w:rFonts w:hint="eastAsia" w:ascii="仿宋_GB2312" w:hAnsi="仿宋_GB2312" w:eastAsia="仿宋_GB2312" w:cs="仿宋_GB2312"/>
                <w:color w:val="auto"/>
                <w:sz w:val="24"/>
                <w:szCs w:val="24"/>
                <w:lang w:val="zh-CN" w:eastAsia="zh-CN" w:bidi="zh-CN"/>
              </w:rPr>
              <w:t>“进</w:t>
            </w:r>
            <w:r>
              <w:rPr>
                <w:rFonts w:hint="eastAsia" w:ascii="仿宋_GB2312" w:hAnsi="仿宋_GB2312" w:eastAsia="仿宋_GB2312" w:cs="仿宋_GB2312"/>
                <w:color w:val="auto"/>
                <w:sz w:val="24"/>
                <w:szCs w:val="24"/>
              </w:rPr>
              <w:t>门入户送安全”（）次，受众（）人次； 组织</w:t>
            </w:r>
            <w:r>
              <w:rPr>
                <w:rFonts w:hint="eastAsia" w:ascii="仿宋_GB2312" w:hAnsi="仿宋_GB2312" w:eastAsia="仿宋_GB2312" w:cs="仿宋_GB2312"/>
                <w:color w:val="auto"/>
                <w:sz w:val="24"/>
                <w:szCs w:val="24"/>
                <w:lang w:val="zh-CN" w:eastAsia="zh-CN" w:bidi="zh-CN"/>
              </w:rPr>
              <w:t>“安全</w:t>
            </w:r>
            <w:r>
              <w:rPr>
                <w:rFonts w:hint="eastAsia" w:ascii="仿宋_GB2312" w:hAnsi="仿宋_GB2312" w:eastAsia="仿宋_GB2312" w:cs="仿宋_GB2312"/>
                <w:color w:val="auto"/>
                <w:sz w:val="24"/>
                <w:szCs w:val="24"/>
              </w:rPr>
              <w:t>志愿者在行动”（）场，参与（）人次； 各类应急演练体验活动（）场，参与（）人次。</w:t>
            </w:r>
          </w:p>
        </w:tc>
      </w:tr>
      <w:tr>
        <w:tblPrEx>
          <w:tblCellMar>
            <w:top w:w="0" w:type="dxa"/>
            <w:left w:w="10" w:type="dxa"/>
            <w:bottom w:w="0" w:type="dxa"/>
            <w:right w:w="10" w:type="dxa"/>
          </w:tblCellMar>
        </w:tblPrEx>
        <w:trPr>
          <w:trHeight w:val="937" w:hRule="exact"/>
          <w:jc w:val="center"/>
        </w:trPr>
        <w:tc>
          <w:tcPr>
            <w:tcW w:w="2642" w:type="dxa"/>
            <w:tcBorders>
              <w:top w:val="single" w:color="auto" w:sz="4" w:space="0"/>
              <w:left w:val="single" w:color="auto" w:sz="4" w:space="0"/>
              <w:bottom w:val="single" w:color="auto" w:sz="4" w:space="0"/>
            </w:tcBorders>
            <w:shd w:val="clear" w:color="auto" w:fill="FFFFFF"/>
            <w:vAlign w:val="center"/>
          </w:tcPr>
          <w:p>
            <w:pPr>
              <w:pStyle w:val="20"/>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其他特色活动</w:t>
            </w:r>
          </w:p>
        </w:tc>
        <w:tc>
          <w:tcPr>
            <w:tcW w:w="4457" w:type="dxa"/>
            <w:gridSpan w:val="2"/>
            <w:tcBorders>
              <w:top w:val="single" w:color="auto" w:sz="4" w:space="0"/>
              <w:left w:val="single" w:color="auto" w:sz="4" w:space="0"/>
              <w:bottom w:val="single" w:color="auto" w:sz="4" w:space="0"/>
            </w:tcBorders>
            <w:shd w:val="clear" w:color="auto" w:fill="FFFFFF"/>
            <w:vAlign w:val="center"/>
          </w:tcPr>
          <w:p>
            <w:pPr>
              <w:pStyle w:val="20"/>
              <w:spacing w:line="240" w:lineRule="auto"/>
              <w:ind w:firstLine="440"/>
              <w:jc w:val="both"/>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可根据实际情况选填。</w:t>
            </w:r>
          </w:p>
        </w:tc>
        <w:tc>
          <w:tcPr>
            <w:tcW w:w="680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0"/>
              <w:spacing w:line="240" w:lineRule="auto"/>
              <w:ind w:firstLine="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组织（）场/次，参与（）人次，宣传受众（）人次。</w:t>
            </w:r>
          </w:p>
        </w:tc>
      </w:tr>
    </w:tbl>
    <w:p>
      <w:pPr>
        <w:rPr>
          <w:rFonts w:ascii="仿宋_GB2312" w:hAnsi="仿宋_GB2312" w:eastAsia="仿宋_GB2312" w:cs="仿宋_GB2312"/>
          <w:color w:val="auto"/>
          <w:lang w:eastAsia="zh-CN"/>
        </w:rPr>
      </w:pPr>
    </w:p>
    <w:p>
      <w:pPr>
        <w:pStyle w:val="6"/>
        <w:spacing w:line="360" w:lineRule="auto"/>
        <w:ind w:left="0" w:leftChars="0" w:firstLine="0" w:firstLineChars="0"/>
        <w:rPr>
          <w:rFonts w:hint="eastAsia" w:ascii="仿宋_GB2312"/>
          <w:b/>
          <w:bCs/>
          <w:color w:val="auto"/>
          <w:sz w:val="28"/>
          <w:szCs w:val="28"/>
          <w:u w:val="single"/>
        </w:rPr>
      </w:pPr>
    </w:p>
    <w:p>
      <w:pPr>
        <w:pStyle w:val="6"/>
        <w:spacing w:line="360" w:lineRule="auto"/>
        <w:ind w:left="-57" w:leftChars="-27" w:firstLine="471" w:firstLineChars="0"/>
        <w:rPr>
          <w:rFonts w:hint="eastAsia" w:ascii="仿宋_GB2312" w:cs="仿宋_GB2312"/>
          <w:b/>
          <w:bCs/>
          <w:color w:val="auto"/>
          <w:kern w:val="0"/>
          <w:szCs w:val="21"/>
        </w:rPr>
      </w:pPr>
    </w:p>
    <w:sectPr>
      <w:footerReference r:id="rId4" w:type="default"/>
      <w:pgSz w:w="16838" w:h="11906" w:orient="landscape"/>
      <w:pgMar w:top="1531" w:right="1985" w:bottom="1531" w:left="170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- 7 -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- 7 -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0288" behindDoc="0" locked="0" layoutInCell="1" allowOverlap="1">
              <wp:simplePos x="0" y="0"/>
              <wp:positionH relativeFrom="margin">
                <wp:posOffset>7747000</wp:posOffset>
              </wp:positionH>
              <wp:positionV relativeFrom="paragraph">
                <wp:posOffset>-201930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10pt;margin-top:-15.9pt;height:144pt;width:144pt;mso-position-horizontal-relative:margin;mso-wrap-style:none;z-index:251660288;mso-width-relative:page;mso-height-relative:page;" filled="f" stroked="f" coordsize="21600,21600" o:gfxdata="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x8A9gAAAAN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ZjM0MTc0MjVhMjE1YTE2OTZkZGY3OWYzYTk5YTYifQ=="/>
  </w:docVars>
  <w:rsids>
    <w:rsidRoot w:val="00434FE3"/>
    <w:rsid w:val="00350365"/>
    <w:rsid w:val="00424B4E"/>
    <w:rsid w:val="00434FE3"/>
    <w:rsid w:val="0048493C"/>
    <w:rsid w:val="00530041"/>
    <w:rsid w:val="005C07D0"/>
    <w:rsid w:val="00A42378"/>
    <w:rsid w:val="00B420D3"/>
    <w:rsid w:val="00C066E0"/>
    <w:rsid w:val="00D16C6D"/>
    <w:rsid w:val="00D17C58"/>
    <w:rsid w:val="00EF63F9"/>
    <w:rsid w:val="01012540"/>
    <w:rsid w:val="02453B59"/>
    <w:rsid w:val="03353137"/>
    <w:rsid w:val="03E02A63"/>
    <w:rsid w:val="03E87BCA"/>
    <w:rsid w:val="03FE0815"/>
    <w:rsid w:val="04B52C5F"/>
    <w:rsid w:val="074702EC"/>
    <w:rsid w:val="07494150"/>
    <w:rsid w:val="096D7FD4"/>
    <w:rsid w:val="09F76798"/>
    <w:rsid w:val="0A95613E"/>
    <w:rsid w:val="0B2E4030"/>
    <w:rsid w:val="0B354AFA"/>
    <w:rsid w:val="0BF0013F"/>
    <w:rsid w:val="0D6E0D2F"/>
    <w:rsid w:val="0DDF1DCE"/>
    <w:rsid w:val="0E3D7ACC"/>
    <w:rsid w:val="0E451EA1"/>
    <w:rsid w:val="0F1630CC"/>
    <w:rsid w:val="10763953"/>
    <w:rsid w:val="110F36F7"/>
    <w:rsid w:val="12145BB7"/>
    <w:rsid w:val="138556E4"/>
    <w:rsid w:val="171B1048"/>
    <w:rsid w:val="176A78D9"/>
    <w:rsid w:val="17B53000"/>
    <w:rsid w:val="193163BA"/>
    <w:rsid w:val="1979071A"/>
    <w:rsid w:val="1A4626D7"/>
    <w:rsid w:val="1A84767D"/>
    <w:rsid w:val="1A9C33D5"/>
    <w:rsid w:val="1AEB1917"/>
    <w:rsid w:val="1BCC2910"/>
    <w:rsid w:val="1C730FDE"/>
    <w:rsid w:val="1D7EF894"/>
    <w:rsid w:val="1DB25B36"/>
    <w:rsid w:val="1FDC1EA2"/>
    <w:rsid w:val="1FFFB483"/>
    <w:rsid w:val="20302F71"/>
    <w:rsid w:val="2070257C"/>
    <w:rsid w:val="20796DDF"/>
    <w:rsid w:val="24F26848"/>
    <w:rsid w:val="297F2F47"/>
    <w:rsid w:val="2AD56B8D"/>
    <w:rsid w:val="2AE72444"/>
    <w:rsid w:val="2B066F49"/>
    <w:rsid w:val="2B434271"/>
    <w:rsid w:val="2B726905"/>
    <w:rsid w:val="2BD55811"/>
    <w:rsid w:val="2D063885"/>
    <w:rsid w:val="2D4A77A3"/>
    <w:rsid w:val="2EF85A43"/>
    <w:rsid w:val="2F5C7FF7"/>
    <w:rsid w:val="2FA774C5"/>
    <w:rsid w:val="30731155"/>
    <w:rsid w:val="32233775"/>
    <w:rsid w:val="33B43F5E"/>
    <w:rsid w:val="342E014E"/>
    <w:rsid w:val="34750606"/>
    <w:rsid w:val="351078BA"/>
    <w:rsid w:val="371511B8"/>
    <w:rsid w:val="3817535F"/>
    <w:rsid w:val="38431D54"/>
    <w:rsid w:val="386A108F"/>
    <w:rsid w:val="38DB60EC"/>
    <w:rsid w:val="3A502FFC"/>
    <w:rsid w:val="3A7BBE5D"/>
    <w:rsid w:val="3BBBAA0C"/>
    <w:rsid w:val="3C73196E"/>
    <w:rsid w:val="3D737E36"/>
    <w:rsid w:val="3D842BF3"/>
    <w:rsid w:val="3F4F61A4"/>
    <w:rsid w:val="3FBA5D73"/>
    <w:rsid w:val="3FBDEA15"/>
    <w:rsid w:val="3FBF5061"/>
    <w:rsid w:val="3FDF52FF"/>
    <w:rsid w:val="3FF73115"/>
    <w:rsid w:val="40FB74F0"/>
    <w:rsid w:val="41A23180"/>
    <w:rsid w:val="440630CD"/>
    <w:rsid w:val="44832482"/>
    <w:rsid w:val="46535859"/>
    <w:rsid w:val="482F19AD"/>
    <w:rsid w:val="49D24CE6"/>
    <w:rsid w:val="4AC661C4"/>
    <w:rsid w:val="4C9A3AC9"/>
    <w:rsid w:val="4CFD720C"/>
    <w:rsid w:val="4DFB45D6"/>
    <w:rsid w:val="4E4269BE"/>
    <w:rsid w:val="4FE53DA2"/>
    <w:rsid w:val="50281B04"/>
    <w:rsid w:val="50EA13B1"/>
    <w:rsid w:val="5133133C"/>
    <w:rsid w:val="517370F9"/>
    <w:rsid w:val="53BE2079"/>
    <w:rsid w:val="54631D2B"/>
    <w:rsid w:val="54BF386C"/>
    <w:rsid w:val="557C32F9"/>
    <w:rsid w:val="563C1435"/>
    <w:rsid w:val="56404E40"/>
    <w:rsid w:val="566B729D"/>
    <w:rsid w:val="568420E4"/>
    <w:rsid w:val="569F204C"/>
    <w:rsid w:val="56B7B402"/>
    <w:rsid w:val="572720A6"/>
    <w:rsid w:val="573FC6A9"/>
    <w:rsid w:val="5777A65D"/>
    <w:rsid w:val="5909065E"/>
    <w:rsid w:val="5A44034B"/>
    <w:rsid w:val="5A671778"/>
    <w:rsid w:val="5ACC4BCD"/>
    <w:rsid w:val="5BA32A16"/>
    <w:rsid w:val="5BBE3F27"/>
    <w:rsid w:val="5CDA5F34"/>
    <w:rsid w:val="5D0B04B7"/>
    <w:rsid w:val="5D869DFE"/>
    <w:rsid w:val="5DA63C54"/>
    <w:rsid w:val="5DEF15C1"/>
    <w:rsid w:val="5ED75FC6"/>
    <w:rsid w:val="5F27215A"/>
    <w:rsid w:val="5FEF1E47"/>
    <w:rsid w:val="5FF7ACC5"/>
    <w:rsid w:val="5FFD4A85"/>
    <w:rsid w:val="60D33507"/>
    <w:rsid w:val="61B83B4B"/>
    <w:rsid w:val="62A414BE"/>
    <w:rsid w:val="62C368E0"/>
    <w:rsid w:val="632C6D8E"/>
    <w:rsid w:val="655035A9"/>
    <w:rsid w:val="66446C15"/>
    <w:rsid w:val="679204F3"/>
    <w:rsid w:val="67DCC98F"/>
    <w:rsid w:val="68BB4EB8"/>
    <w:rsid w:val="696A56A0"/>
    <w:rsid w:val="6A0F1269"/>
    <w:rsid w:val="6B4A04A1"/>
    <w:rsid w:val="6B5D66AE"/>
    <w:rsid w:val="6B8D142A"/>
    <w:rsid w:val="6C1A04F7"/>
    <w:rsid w:val="6DCAF5E2"/>
    <w:rsid w:val="6DEE0ED4"/>
    <w:rsid w:val="6E0E1B48"/>
    <w:rsid w:val="6E1478DE"/>
    <w:rsid w:val="6EFE01BF"/>
    <w:rsid w:val="6EFF182A"/>
    <w:rsid w:val="6F572EFD"/>
    <w:rsid w:val="6F7CCDC0"/>
    <w:rsid w:val="70E023C2"/>
    <w:rsid w:val="74CF6A7E"/>
    <w:rsid w:val="75B53352"/>
    <w:rsid w:val="75CBDD6E"/>
    <w:rsid w:val="76143E0D"/>
    <w:rsid w:val="768D4FD7"/>
    <w:rsid w:val="76ACF2B6"/>
    <w:rsid w:val="76FBC3C8"/>
    <w:rsid w:val="77493F8A"/>
    <w:rsid w:val="777E0B8E"/>
    <w:rsid w:val="777EC00E"/>
    <w:rsid w:val="77FA6F23"/>
    <w:rsid w:val="78054003"/>
    <w:rsid w:val="784B1689"/>
    <w:rsid w:val="78B30F56"/>
    <w:rsid w:val="791C5811"/>
    <w:rsid w:val="79241373"/>
    <w:rsid w:val="79670342"/>
    <w:rsid w:val="7AF3EDD5"/>
    <w:rsid w:val="7AFF340C"/>
    <w:rsid w:val="7B964DBF"/>
    <w:rsid w:val="7BA529A7"/>
    <w:rsid w:val="7BBB84BF"/>
    <w:rsid w:val="7BCC50F8"/>
    <w:rsid w:val="7BFBCCF9"/>
    <w:rsid w:val="7BFF68F4"/>
    <w:rsid w:val="7D0821F2"/>
    <w:rsid w:val="7D3FFCEF"/>
    <w:rsid w:val="7D7E557D"/>
    <w:rsid w:val="7DB6D1A1"/>
    <w:rsid w:val="7DEDD66B"/>
    <w:rsid w:val="7DF43260"/>
    <w:rsid w:val="7E1EF942"/>
    <w:rsid w:val="7EDE083D"/>
    <w:rsid w:val="7EEC0CEA"/>
    <w:rsid w:val="7F294FB6"/>
    <w:rsid w:val="7F7F7DE7"/>
    <w:rsid w:val="7FAF21EA"/>
    <w:rsid w:val="7FBB165B"/>
    <w:rsid w:val="7FC44AF6"/>
    <w:rsid w:val="7FDD8264"/>
    <w:rsid w:val="7FF24563"/>
    <w:rsid w:val="94EE5033"/>
    <w:rsid w:val="96FA3A68"/>
    <w:rsid w:val="97FBE854"/>
    <w:rsid w:val="ABF740F4"/>
    <w:rsid w:val="AF76B4A8"/>
    <w:rsid w:val="AFDFF90F"/>
    <w:rsid w:val="B97B2633"/>
    <w:rsid w:val="B9C7414A"/>
    <w:rsid w:val="BB2D3BCE"/>
    <w:rsid w:val="BDFEE670"/>
    <w:rsid w:val="BFA6C7E3"/>
    <w:rsid w:val="BFDDDB3C"/>
    <w:rsid w:val="BFDF331B"/>
    <w:rsid w:val="BFF68537"/>
    <w:rsid w:val="DB837451"/>
    <w:rsid w:val="DCBF7E7E"/>
    <w:rsid w:val="DDEE050E"/>
    <w:rsid w:val="DEF29031"/>
    <w:rsid w:val="DF7A02FC"/>
    <w:rsid w:val="DFBD0D6B"/>
    <w:rsid w:val="E38BD8B8"/>
    <w:rsid w:val="E3FF2A33"/>
    <w:rsid w:val="E797C30C"/>
    <w:rsid w:val="E7F3E12C"/>
    <w:rsid w:val="EDCF964A"/>
    <w:rsid w:val="EF3E9F8E"/>
    <w:rsid w:val="EF7D9EC4"/>
    <w:rsid w:val="EFAD6010"/>
    <w:rsid w:val="EFEF2A4F"/>
    <w:rsid w:val="F3BF6998"/>
    <w:rsid w:val="F3F37D4A"/>
    <w:rsid w:val="F5DB7235"/>
    <w:rsid w:val="F7EBD66E"/>
    <w:rsid w:val="FB8AB9E2"/>
    <w:rsid w:val="FBFF8CDA"/>
    <w:rsid w:val="FDFF4FF7"/>
    <w:rsid w:val="FE1FD807"/>
    <w:rsid w:val="FE4FDBF6"/>
    <w:rsid w:val="FEDFC5D6"/>
    <w:rsid w:val="FF3E1408"/>
    <w:rsid w:val="FFB7A049"/>
    <w:rsid w:val="FFD417A4"/>
    <w:rsid w:val="FFDF2D93"/>
    <w:rsid w:val="FFED04E7"/>
    <w:rsid w:val="FFF53D5A"/>
    <w:rsid w:val="FFFE2FB9"/>
    <w:rsid w:val="FFFE907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rPr>
  </w:style>
  <w:style w:type="paragraph" w:styleId="3">
    <w:name w:val="Body Text 2"/>
    <w:basedOn w:val="1"/>
    <w:next w:val="2"/>
    <w:qFormat/>
    <w:uiPriority w:val="0"/>
    <w:pPr>
      <w:spacing w:after="120" w:line="480" w:lineRule="auto"/>
    </w:pPr>
  </w:style>
  <w:style w:type="paragraph" w:styleId="4">
    <w:name w:val="Normal Indent"/>
    <w:basedOn w:val="1"/>
    <w:qFormat/>
    <w:uiPriority w:val="0"/>
    <w:pPr>
      <w:ind w:firstLine="420" w:firstLineChars="200"/>
    </w:pPr>
    <w:rPr>
      <w:rFonts w:eastAsia="仿宋"/>
      <w:sz w:val="32"/>
    </w:rPr>
  </w:style>
  <w:style w:type="paragraph" w:styleId="5">
    <w:name w:val="Body Text Indent"/>
    <w:basedOn w:val="1"/>
    <w:next w:val="6"/>
    <w:qFormat/>
    <w:uiPriority w:val="0"/>
    <w:pPr>
      <w:spacing w:after="120"/>
      <w:ind w:left="420" w:leftChars="200"/>
    </w:pPr>
    <w:rPr>
      <w:szCs w:val="20"/>
    </w:rPr>
  </w:style>
  <w:style w:type="paragraph" w:styleId="6">
    <w:name w:val="Body Text First Indent 2"/>
    <w:basedOn w:val="5"/>
    <w:qFormat/>
    <w:uiPriority w:val="0"/>
    <w:pPr>
      <w:ind w:firstLine="420" w:firstLineChars="200"/>
    </w:pPr>
    <w:rPr>
      <w:szCs w:val="22"/>
    </w:rPr>
  </w:style>
  <w:style w:type="paragraph" w:styleId="7">
    <w:name w:val="HTML Address"/>
    <w:basedOn w:val="1"/>
    <w:qFormat/>
    <w:uiPriority w:val="0"/>
    <w:rPr>
      <w:rFonts w:ascii="Times New Roman" w:hAnsi="Times New Roman"/>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99"/>
    <w:pPr>
      <w:spacing w:before="240" w:after="60" w:line="640" w:lineRule="exact"/>
      <w:jc w:val="center"/>
      <w:outlineLvl w:val="0"/>
    </w:pPr>
    <w:rPr>
      <w:rFonts w:ascii="Cambria" w:hAnsi="Cambria" w:eastAsia="方正小标宋简体"/>
      <w:sz w:val="44"/>
      <w:szCs w:val="4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列出段落2"/>
    <w:basedOn w:val="1"/>
    <w:qFormat/>
    <w:uiPriority w:val="0"/>
    <w:pPr>
      <w:ind w:firstLine="420" w:firstLineChars="200"/>
    </w:pPr>
    <w:rPr>
      <w:rFonts w:ascii="Times New Roman" w:hAnsi="Times New Roman" w:eastAsia="仿宋_GB2312"/>
      <w:sz w:val="32"/>
      <w:szCs w:val="32"/>
    </w:rPr>
  </w:style>
  <w:style w:type="character" w:customStyle="1" w:styleId="17">
    <w:name w:val="页眉 Char"/>
    <w:basedOn w:val="13"/>
    <w:link w:val="9"/>
    <w:qFormat/>
    <w:uiPriority w:val="0"/>
    <w:rPr>
      <w:rFonts w:ascii="Calibri" w:hAnsi="Calibri"/>
      <w:kern w:val="2"/>
      <w:sz w:val="18"/>
      <w:szCs w:val="18"/>
    </w:rPr>
  </w:style>
  <w:style w:type="paragraph" w:customStyle="1" w:styleId="18">
    <w:name w:val="Normal (Web)"/>
    <w:basedOn w:val="1"/>
    <w:qFormat/>
    <w:uiPriority w:val="0"/>
    <w:pPr>
      <w:widowControl/>
      <w:spacing w:before="100" w:beforeLines="0" w:beforeAutospacing="1" w:after="100" w:afterLines="0" w:afterAutospacing="1" w:line="240" w:lineRule="auto"/>
      <w:ind w:firstLine="0" w:firstLineChars="0"/>
      <w:jc w:val="left"/>
    </w:pPr>
    <w:rPr>
      <w:rFonts w:ascii="宋体" w:hAnsi="宋体" w:eastAsia="宋体" w:cs="宋体"/>
      <w:kern w:val="0"/>
      <w:sz w:val="24"/>
      <w:szCs w:val="24"/>
    </w:rPr>
  </w:style>
  <w:style w:type="paragraph" w:customStyle="1" w:styleId="19">
    <w:name w:val="Body text|1"/>
    <w:basedOn w:val="1"/>
    <w:qFormat/>
    <w:uiPriority w:val="0"/>
    <w:pPr>
      <w:spacing w:line="420" w:lineRule="auto"/>
      <w:ind w:firstLine="400"/>
    </w:pPr>
    <w:rPr>
      <w:rFonts w:ascii="宋体" w:hAnsi="宋体" w:eastAsia="宋体" w:cs="宋体"/>
      <w:sz w:val="28"/>
      <w:szCs w:val="28"/>
      <w:lang w:val="zh-TW" w:eastAsia="zh-TW" w:bidi="zh-TW"/>
    </w:rPr>
  </w:style>
  <w:style w:type="paragraph" w:customStyle="1" w:styleId="20">
    <w:name w:val="Other|1"/>
    <w:basedOn w:val="1"/>
    <w:qFormat/>
    <w:uiPriority w:val="0"/>
    <w:pPr>
      <w:spacing w:line="420"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5019</Words>
  <Characters>5077</Characters>
  <Lines>43</Lines>
  <Paragraphs>12</Paragraphs>
  <TotalTime>0</TotalTime>
  <ScaleCrop>false</ScaleCrop>
  <LinksUpToDate>false</LinksUpToDate>
  <CharactersWithSpaces>5139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2021-05-22T00:28:00Z</dcterms:created>
  <dc:creator>李刚</dc:creator>
  <cp:lastModifiedBy>阳</cp:lastModifiedBy>
  <cp:lastPrinted>2022-06-01T02:43:24Z</cp:lastPrinted>
  <dcterms:modified xsi:type="dcterms:W3CDTF">2022-06-01T02:47:44Z</dcterms:modified>
  <dc:title>河南省安全生产委员会办公室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05AD52AD2C264CE1A65F05558A01D0B2</vt:lpwstr>
  </property>
</Properties>
</file>