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exact"/>
        <w:jc w:val="center"/>
        <w:rPr>
          <w:rFonts w:hint="eastAsia" w:ascii="方正小标宋简体" w:eastAsia="方正小标宋简体" w:cs="方正小标宋简体"/>
          <w:w w:val="98"/>
          <w:sz w:val="44"/>
          <w:szCs w:val="44"/>
        </w:rPr>
      </w:pPr>
      <w:bookmarkStart w:id="0" w:name="_GoBack"/>
      <w:r>
        <w:rPr>
          <w:rFonts w:hint="eastAsia" w:ascii="方正小标宋简体" w:eastAsia="方正小标宋简体" w:cs="方正小标宋简体"/>
          <w:w w:val="98"/>
          <w:sz w:val="44"/>
          <w:szCs w:val="44"/>
        </w:rPr>
        <w:t>建安区企业投资项目承诺制改革实施细则</w:t>
      </w:r>
    </w:p>
    <w:p>
      <w:pPr>
        <w:spacing w:line="600" w:lineRule="exact"/>
        <w:jc w:val="center"/>
        <w:rPr>
          <w:rFonts w:hint="eastAsia" w:ascii="楷体_GB2312" w:hAnsi="楷体_GB2312" w:eastAsia="楷体_GB2312" w:cs="楷体_GB2312"/>
          <w:w w:val="98"/>
          <w:sz w:val="32"/>
          <w:szCs w:val="32"/>
          <w:lang w:val="en-US" w:eastAsia="zh-CN"/>
        </w:rPr>
      </w:pPr>
      <w:r>
        <w:rPr>
          <w:rFonts w:hint="eastAsia" w:ascii="楷体_GB2312" w:hAnsi="楷体_GB2312" w:eastAsia="楷体_GB2312" w:cs="楷体_GB2312"/>
          <w:w w:val="98"/>
          <w:sz w:val="32"/>
          <w:szCs w:val="32"/>
          <w:lang w:val="en-US" w:eastAsia="zh-CN"/>
        </w:rPr>
        <w:t>（征求意见稿）</w:t>
      </w:r>
    </w:p>
    <w:bookmarkEnd w:id="0"/>
    <w:p/>
    <w:p>
      <w:pPr>
        <w:ind w:firstLine="632" w:firstLineChars="200"/>
        <w:rPr>
          <w:rFonts w:hint="eastAsia"/>
        </w:rPr>
      </w:pPr>
      <w:r>
        <w:rPr>
          <w:rFonts w:hint="eastAsia"/>
        </w:rPr>
        <w:t>为深入贯彻落实国家、省、市“放管服”改革精神，进一步提升企业投资项目审批服务效率，营造更好营商环境，根据《河南省人民政府办公厅关于印发河南省深化企业投资项目承诺制改革实施方案的通知》（豫政办〔2021〕54号）、《许昌市人民政府办公室关于印发许昌市深化企业投资项目承诺制改革实施方案》（许政办〔2022〕19号）和有关法律法规，结合我区实际，制定本细则。</w:t>
      </w:r>
    </w:p>
    <w:p>
      <w:pPr>
        <w:ind w:firstLine="632" w:firstLineChars="200"/>
        <w:rPr>
          <w:rFonts w:hint="eastAsia" w:ascii="黑体" w:hAnsi="黑体" w:eastAsia="黑体" w:cs="黑体"/>
        </w:rPr>
      </w:pPr>
      <w:r>
        <w:rPr>
          <w:rFonts w:hint="eastAsia" w:ascii="黑体" w:hAnsi="黑体" w:eastAsia="黑体" w:cs="黑体"/>
        </w:rPr>
        <w:t>第一条  适用范围</w:t>
      </w:r>
    </w:p>
    <w:p>
      <w:pPr>
        <w:ind w:firstLine="632" w:firstLineChars="200"/>
        <w:rPr>
          <w:rFonts w:hint="eastAsia"/>
          <w:szCs w:val="28"/>
        </w:rPr>
      </w:pPr>
      <w:r>
        <w:rPr>
          <w:rFonts w:hint="eastAsia"/>
          <w:szCs w:val="28"/>
        </w:rPr>
        <w:t>以开发区为重点，对《政府核准的投资项目目录（河南省）》外实行备案管理的一般性企业投资项目审批管理适用本细则。</w:t>
      </w:r>
    </w:p>
    <w:p>
      <w:pPr>
        <w:ind w:firstLine="632" w:firstLineChars="200"/>
        <w:rPr>
          <w:rFonts w:hint="eastAsia"/>
          <w:szCs w:val="28"/>
        </w:rPr>
      </w:pPr>
      <w:r>
        <w:rPr>
          <w:rFonts w:hint="eastAsia"/>
          <w:szCs w:val="28"/>
        </w:rPr>
        <w:t>本细则所称企业投资项目承诺制，是指以供地、开工、竣工投产为时间节点，变先批后建为先建后验，变串联办理为并联办理，变事前审批为事中事后监管服务，统一清单告知、统一流程审批、统一平台办理、统一领办代办、统一收费管理，做到政府靠前服务、政策条件引导、企业信用承诺、中介各履其责、监管约束有效的管理服务模式。</w:t>
      </w:r>
    </w:p>
    <w:p>
      <w:pPr>
        <w:ind w:firstLine="632" w:firstLineChars="200"/>
        <w:rPr>
          <w:rFonts w:hint="eastAsia" w:ascii="黑体" w:hAnsi="黑体" w:eastAsia="黑体" w:cs="黑体"/>
        </w:rPr>
      </w:pPr>
      <w:r>
        <w:rPr>
          <w:rFonts w:hint="eastAsia" w:ascii="黑体" w:hAnsi="黑体" w:eastAsia="黑体" w:cs="黑体"/>
        </w:rPr>
        <w:t xml:space="preserve">第二条  基本原则  </w:t>
      </w:r>
    </w:p>
    <w:p>
      <w:pPr>
        <w:ind w:firstLine="632" w:firstLineChars="200"/>
        <w:rPr>
          <w:rFonts w:hint="eastAsia"/>
          <w:szCs w:val="28"/>
        </w:rPr>
      </w:pPr>
      <w:r>
        <w:rPr>
          <w:rFonts w:hint="eastAsia"/>
          <w:szCs w:val="28"/>
        </w:rPr>
        <w:t>按照改革创新和依法行政相结合、事项简化和流程优化相结合、政府服务和有效监管相结合、示范引领和以点带面相结合的原则，积极稳妥地推进《政府核准的投资项目目录（河南省）》外实行备案管理的一般性企业投资项目承诺制改革工作。</w:t>
      </w:r>
    </w:p>
    <w:p>
      <w:pPr>
        <w:ind w:firstLine="632" w:firstLineChars="200"/>
        <w:rPr>
          <w:rFonts w:hint="eastAsia" w:ascii="黑体" w:hAnsi="黑体" w:eastAsia="黑体" w:cs="黑体"/>
        </w:rPr>
      </w:pPr>
      <w:r>
        <w:rPr>
          <w:rFonts w:hint="eastAsia" w:ascii="黑体" w:hAnsi="黑体" w:eastAsia="黑体" w:cs="黑体"/>
        </w:rPr>
        <w:t>第三条  工作目标</w:t>
      </w:r>
    </w:p>
    <w:p>
      <w:pPr>
        <w:ind w:firstLine="632" w:firstLineChars="200"/>
        <w:rPr>
          <w:rFonts w:hint="eastAsia"/>
          <w:szCs w:val="28"/>
        </w:rPr>
      </w:pPr>
      <w:r>
        <w:rPr>
          <w:rFonts w:hint="eastAsia"/>
          <w:szCs w:val="28"/>
        </w:rPr>
        <w:t>以提高服务效能、压减审批时限为目标，打造“审批少、流程优、效率高、服务好”的投资环境，实现一般性企业投资项目开工前政府审批时间压减至30个工作日以内，开发区内一般性企业投资项目实行“标准地+承诺制”模式，实现“事项全承诺、拿地即开工”。</w:t>
      </w:r>
    </w:p>
    <w:p>
      <w:pPr>
        <w:ind w:firstLine="632" w:firstLineChars="200"/>
        <w:rPr>
          <w:rFonts w:hint="eastAsia" w:ascii="黑体" w:hAnsi="黑体" w:eastAsia="黑体" w:cs="黑体"/>
        </w:rPr>
      </w:pPr>
      <w:r>
        <w:rPr>
          <w:rFonts w:hint="eastAsia" w:ascii="黑体" w:hAnsi="黑体" w:eastAsia="黑体" w:cs="黑体"/>
        </w:rPr>
        <w:t>第四条  事项清单</w:t>
      </w:r>
    </w:p>
    <w:p>
      <w:pPr>
        <w:ind w:firstLine="632" w:firstLineChars="200"/>
        <w:rPr>
          <w:rFonts w:hint="eastAsia"/>
          <w:szCs w:val="28"/>
        </w:rPr>
      </w:pPr>
      <w:r>
        <w:rPr>
          <w:rFonts w:hint="eastAsia"/>
          <w:szCs w:val="28"/>
        </w:rPr>
        <w:t>按照“能服务的提前办、有承诺的直接批、可简化的不保留”的原则，将备案类企业投资项目审批事项调整为政府统一服务事项、企业信用承诺事项、保留审批事项三类，形成企业投资项目承诺制改革事项清单。</w:t>
      </w:r>
    </w:p>
    <w:p>
      <w:pPr>
        <w:rPr>
          <w:rFonts w:hint="eastAsia" w:ascii="仿宋_GB2312" w:hAnsi="仿宋_GB2312" w:cs="仿宋_GB2312"/>
        </w:rPr>
      </w:pPr>
      <w:r>
        <w:rPr>
          <w:rFonts w:hint="eastAsia" w:ascii="仿宋_GB2312" w:hAnsi="仿宋_GB2312" w:cs="仿宋_GB2312"/>
        </w:rPr>
        <w:t>　　</w:t>
      </w:r>
      <w:r>
        <w:rPr>
          <w:rFonts w:hint="eastAsia" w:ascii="楷体_GB2312" w:hAnsi="楷体_GB2312" w:eastAsia="楷体_GB2312" w:cs="楷体_GB2312"/>
          <w:b/>
          <w:bCs/>
        </w:rPr>
        <w:t>（一）政府统一服务事项</w:t>
      </w:r>
    </w:p>
    <w:p>
      <w:pPr>
        <w:ind w:firstLine="632" w:firstLineChars="200"/>
        <w:rPr>
          <w:rFonts w:hint="eastAsia"/>
          <w:szCs w:val="28"/>
        </w:rPr>
      </w:pPr>
      <w:r>
        <w:rPr>
          <w:rFonts w:hint="eastAsia"/>
          <w:szCs w:val="28"/>
        </w:rPr>
        <w:t>对供地阶段原来由企业办理的13项事项，调整为政府提供统一服务事项，其中，移除类事项4项，区域评估事项9项。</w:t>
      </w:r>
    </w:p>
    <w:p>
      <w:pPr>
        <w:ind w:firstLine="632" w:firstLineChars="200"/>
        <w:rPr>
          <w:rFonts w:hint="eastAsia"/>
          <w:szCs w:val="28"/>
        </w:rPr>
      </w:pPr>
      <w:r>
        <w:rPr>
          <w:rFonts w:hint="eastAsia"/>
          <w:szCs w:val="28"/>
        </w:rPr>
        <w:t>1.移除类事项，由政府有关部门提供统一服务，供地后企业不再办理。包括工程建设涉及绿地、树木审批，市政设施建设类审批，因工程建设需要拆除、改动、迁移供水、排水与污水设施审核，农业灌排影响意见书（占用农业灌溉水源灌排工程设施补偿项目审批）4个事项。</w:t>
      </w:r>
    </w:p>
    <w:p>
      <w:pPr>
        <w:ind w:firstLine="632" w:firstLineChars="200"/>
        <w:rPr>
          <w:rFonts w:hint="eastAsia"/>
          <w:szCs w:val="28"/>
        </w:rPr>
      </w:pPr>
      <w:r>
        <w:rPr>
          <w:rFonts w:hint="eastAsia"/>
          <w:szCs w:val="28"/>
        </w:rPr>
        <w:t>2.区域评估事项，由政府有关部门提供统一服务。其中，新建、扩建、改建建设工程避免危害气象探测环境初审，建设工程文物保护和考古许可，地质灾害危险性评估，地震安全性评价4个事项，在供地前完成；生产建设项目水土保持方案审批、洪水影响评价审批、取水许可审批、环境影响评价审批、节能审查5个事项，供地后企业按规定办理。</w:t>
      </w:r>
    </w:p>
    <w:p>
      <w:pPr>
        <w:ind w:firstLine="632" w:firstLineChars="200"/>
        <w:rPr>
          <w:rFonts w:hint="eastAsia" w:ascii="仿宋_GB2312" w:hAnsi="仿宋_GB2312" w:cs="仿宋_GB2312"/>
        </w:rPr>
      </w:pPr>
      <w:r>
        <w:rPr>
          <w:rFonts w:hint="eastAsia" w:ascii="楷体_GB2312" w:hAnsi="楷体_GB2312" w:eastAsia="楷体_GB2312" w:cs="楷体_GB2312"/>
          <w:b/>
          <w:bCs/>
        </w:rPr>
        <w:t>（二）企业信用承诺事项</w:t>
      </w:r>
    </w:p>
    <w:p>
      <w:pPr>
        <w:ind w:firstLine="632" w:firstLineChars="200"/>
        <w:rPr>
          <w:rFonts w:hint="eastAsia"/>
          <w:szCs w:val="28"/>
        </w:rPr>
      </w:pPr>
      <w:r>
        <w:rPr>
          <w:rFonts w:hint="eastAsia"/>
          <w:szCs w:val="28"/>
        </w:rPr>
        <w:t>企业信用承诺事项共8项，其中，“政府服务承诺+企业信用承诺”（以下简称政府、企业双向承诺）事项5项，企业承诺即审批事项3项。</w:t>
      </w:r>
    </w:p>
    <w:p>
      <w:pPr>
        <w:ind w:firstLine="632" w:firstLineChars="200"/>
        <w:rPr>
          <w:rFonts w:hint="eastAsia"/>
          <w:szCs w:val="28"/>
        </w:rPr>
      </w:pPr>
      <w:r>
        <w:rPr>
          <w:rFonts w:hint="eastAsia"/>
          <w:szCs w:val="28"/>
        </w:rPr>
        <w:t>1.政府、企业双向承诺事项，即在完成政府统一服务（区域评估）的基础上，企业作出书面承诺，政府有关部门公示后完成审批的事项。包括生产建设项目水土保持方案审批、洪水影响评价审批、取水许可审批、环境影响评价审批、节能审查5个事项。其中，环境影响评价审批、节能审查2个事项，根据主管部门制定的区域评估清单指引实行承诺制。</w:t>
      </w:r>
    </w:p>
    <w:p>
      <w:pPr>
        <w:ind w:firstLine="632" w:firstLineChars="200"/>
        <w:rPr>
          <w:rFonts w:hint="eastAsia"/>
          <w:szCs w:val="28"/>
        </w:rPr>
      </w:pPr>
      <w:r>
        <w:rPr>
          <w:rFonts w:hint="eastAsia"/>
          <w:szCs w:val="28"/>
        </w:rPr>
        <w:t>2.企业承诺即办理事项，即企业作出书面承诺，政府有关部门公示后完成审批的事项。包括雷电防护装置设计审核、防空地下室建设审批、施工许可证核发的部分前置条件3个事项。</w:t>
      </w:r>
    </w:p>
    <w:p>
      <w:pPr>
        <w:rPr>
          <w:rFonts w:hint="eastAsia" w:ascii="仿宋_GB2312" w:hAnsi="仿宋_GB2312" w:cs="仿宋_GB2312"/>
        </w:rPr>
      </w:pPr>
      <w:r>
        <w:rPr>
          <w:rFonts w:hint="eastAsia" w:ascii="仿宋_GB2312" w:hAnsi="仿宋_GB2312" w:cs="仿宋_GB2312"/>
        </w:rPr>
        <w:t>　　</w:t>
      </w:r>
      <w:r>
        <w:rPr>
          <w:rFonts w:hint="eastAsia" w:ascii="楷体_GB2312" w:hAnsi="楷体_GB2312" w:eastAsia="楷体_GB2312" w:cs="楷体_GB2312"/>
          <w:b/>
          <w:bCs/>
        </w:rPr>
        <w:t>（三）保留审批事项</w:t>
      </w:r>
    </w:p>
    <w:p>
      <w:pPr>
        <w:ind w:firstLine="632" w:firstLineChars="200"/>
        <w:rPr>
          <w:rFonts w:hint="eastAsia"/>
          <w:szCs w:val="28"/>
        </w:rPr>
      </w:pPr>
      <w:r>
        <w:rPr>
          <w:rFonts w:hint="eastAsia"/>
          <w:szCs w:val="28"/>
        </w:rPr>
        <w:t>保留审批事项包括企业投资项目备案、建设用地规划许可证核发、建设工程规划类许可证核发、建筑工程施工许可证核发、涉及国家安全事项的建设项目审批5个事项。</w:t>
      </w:r>
    </w:p>
    <w:p>
      <w:pPr>
        <w:ind w:firstLine="632" w:firstLineChars="200"/>
        <w:rPr>
          <w:rFonts w:hint="eastAsia"/>
          <w:szCs w:val="28"/>
        </w:rPr>
      </w:pPr>
      <w:r>
        <w:rPr>
          <w:rFonts w:hint="eastAsia"/>
          <w:szCs w:val="28"/>
        </w:rPr>
        <w:t>1.统筹建设用地供应和用地规划许可，将规划条件纳入国有建设用地使用权出让方案和出让合同，签订土地出让合同时同步核发建设用地规划许可证。以标准地方式出让的，还应同时签订标准地投资建设协议。</w:t>
      </w:r>
    </w:p>
    <w:p>
      <w:pPr>
        <w:ind w:firstLine="632" w:firstLineChars="200"/>
        <w:rPr>
          <w:rFonts w:hint="eastAsia"/>
          <w:szCs w:val="28"/>
        </w:rPr>
      </w:pPr>
      <w:r>
        <w:rPr>
          <w:rFonts w:hint="eastAsia"/>
          <w:szCs w:val="28"/>
        </w:rPr>
        <w:t>2.优化建设工程规划许可，同步进行建设工程规划许可证核发与建设工程设计方案审查，实行建设工程设计方案联合审查。</w:t>
      </w:r>
    </w:p>
    <w:p>
      <w:pPr>
        <w:ind w:firstLine="632" w:firstLineChars="200"/>
        <w:rPr>
          <w:rFonts w:hint="eastAsia"/>
          <w:szCs w:val="28"/>
        </w:rPr>
      </w:pPr>
      <w:r>
        <w:rPr>
          <w:rFonts w:hint="eastAsia"/>
          <w:szCs w:val="28"/>
        </w:rPr>
        <w:t>3.依照法定程序加快取消中介机构施工图审查环节，实行建设、勘察设计单位质量承诺制和重要工程施工图专家论证制、勘察设计质量终身责任制。</w:t>
      </w:r>
    </w:p>
    <w:p>
      <w:pPr>
        <w:ind w:firstLine="632" w:firstLineChars="200"/>
        <w:rPr>
          <w:rFonts w:hint="eastAsia"/>
          <w:szCs w:val="28"/>
        </w:rPr>
      </w:pPr>
      <w:r>
        <w:rPr>
          <w:rFonts w:hint="eastAsia"/>
          <w:szCs w:val="28"/>
        </w:rPr>
        <w:t>4.取消工程质量监督登记、工程安全监督备案等环节，将其并入建筑工程施工许可环节，实行施工许可一站式办理。</w:t>
      </w:r>
    </w:p>
    <w:p>
      <w:pPr>
        <w:ind w:firstLine="632" w:firstLineChars="200"/>
        <w:rPr>
          <w:rFonts w:hint="eastAsia"/>
          <w:szCs w:val="28"/>
        </w:rPr>
      </w:pPr>
      <w:r>
        <w:rPr>
          <w:rFonts w:hint="eastAsia"/>
          <w:szCs w:val="28"/>
        </w:rPr>
        <w:t>5.供水、供电、燃气、热力、排水、通信等市政公用基础设施报装在开工前可办理相关手续。</w:t>
      </w:r>
    </w:p>
    <w:p>
      <w:pPr>
        <w:ind w:firstLine="632" w:firstLineChars="200"/>
        <w:rPr>
          <w:rFonts w:hint="eastAsia"/>
          <w:szCs w:val="28"/>
        </w:rPr>
      </w:pPr>
      <w:r>
        <w:rPr>
          <w:rFonts w:hint="eastAsia"/>
          <w:szCs w:val="28"/>
        </w:rPr>
        <w:t>区有关部门依据法律、法规和相关技术规范，对政府统一服务事项，明确政府服务的内容和范围。对企业信用承诺事项，明确事项准入条件和标准、监管及验收的要求和依据，制定统一、规范的承诺书格式文本。对保留审批事项，完善办事指南， 明确事项适用范围、申报材料、办理流程和审批时限等。</w:t>
      </w:r>
    </w:p>
    <w:p>
      <w:pPr>
        <w:rPr>
          <w:rFonts w:hint="eastAsia" w:ascii="仿宋_GB2312" w:hAnsi="仿宋_GB2312" w:cs="仿宋_GB2312"/>
        </w:rPr>
      </w:pPr>
      <w:r>
        <w:rPr>
          <w:rFonts w:hint="eastAsia" w:ascii="仿宋_GB2312" w:hAnsi="仿宋_GB2312" w:cs="仿宋_GB2312"/>
        </w:rPr>
        <w:t>　　</w:t>
      </w:r>
      <w:r>
        <w:rPr>
          <w:rFonts w:hint="eastAsia" w:ascii="黑体" w:hAnsi="黑体" w:eastAsia="黑体" w:cs="黑体"/>
        </w:rPr>
        <w:t>第五条  审批流程</w:t>
      </w:r>
    </w:p>
    <w:p>
      <w:pPr>
        <w:ind w:firstLine="632" w:firstLineChars="200"/>
        <w:rPr>
          <w:rFonts w:hint="eastAsia"/>
          <w:szCs w:val="28"/>
        </w:rPr>
      </w:pPr>
      <w:r>
        <w:rPr>
          <w:rFonts w:hint="eastAsia"/>
          <w:szCs w:val="28"/>
        </w:rPr>
        <w:t>按照政府统一服务事项、企业信用承诺事项、保留审批事项三类，以供地、开工、竣工投产为节点，简化审批环节，调整审批时序，实行并联办理，再造审批流程。政府在供地前完成统一服务事项，企业在供地后开工前完成承诺事项，竣工后完成联合验收。</w:t>
      </w:r>
    </w:p>
    <w:p>
      <w:pPr>
        <w:ind w:firstLine="632" w:firstLineChars="200"/>
        <w:rPr>
          <w:rFonts w:hint="eastAsia"/>
          <w:szCs w:val="28"/>
        </w:rPr>
      </w:pPr>
      <w:r>
        <w:rPr>
          <w:rFonts w:hint="eastAsia"/>
          <w:szCs w:val="28"/>
        </w:rPr>
        <w:t>（一）政务服务机构在政务大厅设立企业投资项目承诺制办理窗口，依托省投资项目在线审批监管平台（以下简称省在线平台），做好企业投资项目承诺制事项的受理、办理等工作。</w:t>
      </w:r>
    </w:p>
    <w:p>
      <w:pPr>
        <w:ind w:firstLine="632" w:firstLineChars="200"/>
        <w:rPr>
          <w:rFonts w:hint="eastAsia"/>
          <w:szCs w:val="28"/>
        </w:rPr>
      </w:pPr>
      <w:r>
        <w:rPr>
          <w:rFonts w:hint="eastAsia"/>
          <w:szCs w:val="28"/>
        </w:rPr>
        <w:t>（二）对于一般性企业投资项目，政府部门在供地前并联完成政府统一服务事项，企业通过省在线平台赋码备案，签订土地出让合同时同步核发建设用地规划许可证，并联办理企业信用承诺事项以及建设工程规划许可证核发、施工许可证核发等保留审批事项，企业自主开展施工图设计和施工，竣工后开展联合验收。区有关部门在土地出让前，分类确定地块的区域评估和控制性指标，土地带标准出让。</w:t>
      </w:r>
    </w:p>
    <w:p>
      <w:pPr>
        <w:ind w:firstLine="632" w:firstLineChars="200"/>
        <w:rPr>
          <w:rFonts w:hint="eastAsia"/>
          <w:szCs w:val="28"/>
        </w:rPr>
      </w:pPr>
      <w:r>
        <w:rPr>
          <w:rFonts w:hint="eastAsia"/>
          <w:szCs w:val="28"/>
        </w:rPr>
        <w:t>（三）企业在供地后、开工前依据政府有关部门制定的准入条件和标准作出具有法律效力的书面承诺，通过省在线平台报送政府有关部门，经预审公示后，政府有关部门批复承诺事项。对保留审批事项实行容缺办理，企业在部分非主审申请材料暂不能提供的情况下，以书面形式承诺在规定期限内提交符合审批条件的材料，审批部门可先予以受理，提前开展技术审查并可出具预审意见。</w:t>
      </w:r>
    </w:p>
    <w:p>
      <w:pPr>
        <w:ind w:firstLine="632" w:firstLineChars="200"/>
        <w:rPr>
          <w:rFonts w:hint="eastAsia"/>
          <w:szCs w:val="28"/>
        </w:rPr>
      </w:pPr>
      <w:r>
        <w:rPr>
          <w:rFonts w:hint="eastAsia"/>
          <w:szCs w:val="28"/>
        </w:rPr>
        <w:t>（四）竣工后完成联合验收。按照法律、法规相关规定，属于企业自主验收的事项，由企业组织完成并向政府部门报备。属于政府部门验收的事项，根据企业申请，牵头部门组织协调有关部门在规定时限内实行联测联验，验收合格后即可投入使用，验收不合格的限期整改。</w:t>
      </w:r>
    </w:p>
    <w:p>
      <w:pPr>
        <w:ind w:firstLine="632" w:firstLineChars="200"/>
        <w:rPr>
          <w:rFonts w:hint="eastAsia" w:ascii="黑体" w:hAnsi="黑体" w:eastAsia="黑体" w:cs="黑体"/>
        </w:rPr>
      </w:pPr>
      <w:r>
        <w:rPr>
          <w:rFonts w:hint="eastAsia" w:ascii="黑体" w:hAnsi="黑体" w:eastAsia="黑体" w:cs="黑体"/>
        </w:rPr>
        <w:t>第六条  平台办理</w:t>
      </w:r>
    </w:p>
    <w:p>
      <w:pPr>
        <w:ind w:firstLine="632" w:firstLineChars="200"/>
        <w:rPr>
          <w:rFonts w:hint="eastAsia"/>
          <w:szCs w:val="28"/>
        </w:rPr>
      </w:pPr>
      <w:r>
        <w:rPr>
          <w:rFonts w:hint="eastAsia"/>
          <w:szCs w:val="28"/>
        </w:rPr>
        <w:t>依托省在线平台，对企业投资项目承诺制事项实行一网通办，实现一口受理、平台赋码、并联办理、限时办结、信息共享、协同监管。</w:t>
      </w:r>
    </w:p>
    <w:p>
      <w:pPr>
        <w:ind w:firstLine="632" w:firstLineChars="200"/>
        <w:rPr>
          <w:rFonts w:hint="eastAsia"/>
          <w:szCs w:val="28"/>
        </w:rPr>
      </w:pPr>
      <w:r>
        <w:rPr>
          <w:rFonts w:hint="eastAsia"/>
          <w:szCs w:val="28"/>
        </w:rPr>
        <w:t>加强各类审批系统与省在线平台互联互通，涉及项目审批事项的部门应将办理项目审批事项的信息上传至省在线平台，并同步推送至省一体化在线政务服务平台，实现投资项目信息及时、准确和全面共享。</w:t>
      </w:r>
    </w:p>
    <w:p>
      <w:pPr>
        <w:ind w:firstLine="632" w:firstLineChars="200"/>
        <w:rPr>
          <w:rFonts w:hint="eastAsia"/>
          <w:szCs w:val="28"/>
        </w:rPr>
      </w:pPr>
      <w:r>
        <w:rPr>
          <w:rFonts w:hint="eastAsia"/>
          <w:szCs w:val="28"/>
        </w:rPr>
        <w:t>依托省、市、区政务数据共享交换平台，加强省在线平台与信用信息共享平台的信息共享，信用信息共享平台归集、整合各相关部门的企业投资项目信用信息，为实施企业投资项目承诺制提供信息查询服务。</w:t>
      </w:r>
    </w:p>
    <w:p>
      <w:pPr>
        <w:rPr>
          <w:rFonts w:hint="eastAsia" w:ascii="仿宋_GB2312" w:hAnsi="仿宋_GB2312" w:cs="仿宋_GB2312"/>
        </w:rPr>
      </w:pPr>
      <w:r>
        <w:rPr>
          <w:rFonts w:hint="eastAsia" w:ascii="仿宋_GB2312" w:hAnsi="仿宋_GB2312" w:cs="仿宋_GB2312"/>
        </w:rPr>
        <w:t>　　</w:t>
      </w:r>
      <w:r>
        <w:rPr>
          <w:rFonts w:hint="eastAsia" w:ascii="黑体" w:hAnsi="黑体" w:eastAsia="黑体" w:cs="黑体"/>
        </w:rPr>
        <w:t>第七条  深化开发区承诺制改革</w:t>
      </w:r>
    </w:p>
    <w:p>
      <w:pPr>
        <w:ind w:firstLine="632" w:firstLineChars="200"/>
        <w:rPr>
          <w:rFonts w:hint="eastAsia"/>
          <w:szCs w:val="28"/>
        </w:rPr>
      </w:pPr>
      <w:r>
        <w:rPr>
          <w:rFonts w:hint="eastAsia"/>
          <w:szCs w:val="28"/>
        </w:rPr>
        <w:t>加大开发区企业投资项目承诺制改革力度，协同推进“多规合一”“区域评估”“多评合一”“联合审验”等改革创新，发挥改革集成叠加效应。开发区政务服务机构要优化完善承诺制“领办”、“代办”制，培养专业化领办代办员队伍，为项目提供无偿领办代办、全程服务。</w:t>
      </w:r>
    </w:p>
    <w:p>
      <w:pPr>
        <w:ind w:firstLine="632" w:firstLineChars="200"/>
        <w:rPr>
          <w:rFonts w:hint="eastAsia"/>
          <w:szCs w:val="28"/>
        </w:rPr>
      </w:pPr>
      <w:r>
        <w:rPr>
          <w:rFonts w:hint="eastAsia"/>
          <w:szCs w:val="28"/>
        </w:rPr>
        <w:t>（一）对开发区内一般性企业投资项目推行“承诺制+标准地”模式，土地出让前完成区域评估，明确固定资产投资强度、亩均税收、建筑容积率、单位能耗标准、环境标准等控制性指标，并实现项目开工所必需的通水、通电、通路、土地平整等基本条件。</w:t>
      </w:r>
    </w:p>
    <w:p>
      <w:pPr>
        <w:ind w:firstLine="632" w:firstLineChars="200"/>
        <w:rPr>
          <w:rFonts w:hint="eastAsia"/>
          <w:szCs w:val="28"/>
        </w:rPr>
      </w:pPr>
      <w:r>
        <w:rPr>
          <w:rFonts w:hint="eastAsia"/>
          <w:szCs w:val="28"/>
        </w:rPr>
        <w:t>（二）对开发区内一般性企业投资项目实行“事项全承诺、拿地即开工”。政府部门在供地前并联完成政府统一服务事项，企业通过省在线平台赋码备案，签订土地出让合同和标准地投资建设协议时同步核发建设用地规划许可证，并联办理企业信用承诺事项，企业自主开展施工图设计和施工，竣工后开展联合验收。企业办理承诺事项时，可一次性合并出具具备条件的承诺内容。</w:t>
      </w:r>
    </w:p>
    <w:p>
      <w:pPr>
        <w:rPr>
          <w:rFonts w:hint="eastAsia" w:ascii="仿宋_GB2312" w:hAnsi="仿宋_GB2312" w:cs="仿宋_GB2312"/>
        </w:rPr>
      </w:pPr>
      <w:r>
        <w:rPr>
          <w:rFonts w:hint="eastAsia" w:ascii="仿宋_GB2312" w:hAnsi="仿宋_GB2312" w:cs="仿宋_GB2312"/>
        </w:rPr>
        <w:t>　　</w:t>
      </w:r>
      <w:r>
        <w:rPr>
          <w:rFonts w:hint="eastAsia" w:ascii="黑体" w:hAnsi="黑体" w:eastAsia="黑体" w:cs="黑体"/>
        </w:rPr>
        <w:t>第八条  保障措施</w:t>
      </w:r>
    </w:p>
    <w:p>
      <w:pPr>
        <w:rPr>
          <w:rFonts w:hint="eastAsia"/>
          <w:szCs w:val="28"/>
        </w:rPr>
      </w:pPr>
      <w:r>
        <w:rPr>
          <w:rFonts w:hint="eastAsia" w:ascii="仿宋_GB2312" w:hAnsi="仿宋_GB2312" w:cs="仿宋_GB2312"/>
        </w:rPr>
        <w:t>　　</w:t>
      </w:r>
      <w:r>
        <w:rPr>
          <w:rFonts w:hint="eastAsia" w:ascii="楷体_GB2312" w:hAnsi="楷体_GB2312" w:eastAsia="楷体_GB2312" w:cs="楷体_GB2312"/>
          <w:b/>
          <w:bCs/>
        </w:rPr>
        <w:t>（一）加强组织领导。</w:t>
      </w:r>
      <w:r>
        <w:rPr>
          <w:rFonts w:hint="eastAsia"/>
          <w:szCs w:val="28"/>
        </w:rPr>
        <w:t>区政府成立由区长任组长，常务副区长为副组长，区直相关部门主要负责人为成员的建安区企业投资项目承诺制改革工作领导小组（以下简称领导小组）， 统一领导承诺制改革工作，研究改革举措，协调重大问题，推动改革落实。领导小组下设办公室，办公室设在区发改委，统筹负责领导小组日常工作。</w:t>
      </w:r>
    </w:p>
    <w:p>
      <w:pPr>
        <w:rPr>
          <w:rFonts w:hint="eastAsia"/>
          <w:szCs w:val="28"/>
        </w:rPr>
      </w:pPr>
      <w:r>
        <w:rPr>
          <w:rFonts w:hint="eastAsia" w:ascii="仿宋_GB2312" w:hAnsi="仿宋_GB2312" w:cs="仿宋_GB2312"/>
        </w:rPr>
        <w:t>　　</w:t>
      </w:r>
      <w:r>
        <w:rPr>
          <w:rFonts w:hint="eastAsia" w:ascii="楷体_GB2312" w:hAnsi="楷体_GB2312" w:eastAsia="楷体_GB2312" w:cs="楷体_GB2312"/>
          <w:b/>
          <w:bCs/>
        </w:rPr>
        <w:t>（二）建立经费保障制度。</w:t>
      </w:r>
      <w:r>
        <w:rPr>
          <w:rFonts w:hint="eastAsia"/>
          <w:szCs w:val="28"/>
        </w:rPr>
        <w:t>凡承诺制改革列入政府统一服务事项所涉经费，收费项目取消的列入同级预算保障，其他经费通过现有资金渠道解决。财政部门对报建阶段所涉收费事项，实行清单管理，清单之外无费用。</w:t>
      </w:r>
    </w:p>
    <w:p>
      <w:pPr>
        <w:ind w:firstLine="632" w:firstLineChars="200"/>
        <w:rPr>
          <w:rFonts w:hint="eastAsia" w:ascii="黑体" w:hAnsi="黑体" w:eastAsia="黑体" w:cs="黑体"/>
        </w:rPr>
      </w:pPr>
      <w:r>
        <w:rPr>
          <w:rFonts w:hint="eastAsia" w:ascii="黑体" w:hAnsi="黑体" w:eastAsia="黑体" w:cs="黑体"/>
        </w:rPr>
        <w:t>第九条  监督管理</w:t>
      </w:r>
    </w:p>
    <w:p>
      <w:pPr>
        <w:rPr>
          <w:rFonts w:hint="eastAsia"/>
          <w:szCs w:val="28"/>
        </w:rPr>
      </w:pPr>
      <w:r>
        <w:rPr>
          <w:rFonts w:hint="eastAsia" w:ascii="仿宋_GB2312" w:hAnsi="仿宋_GB2312" w:cs="仿宋_GB2312"/>
        </w:rPr>
        <w:t>　　</w:t>
      </w:r>
      <w:r>
        <w:rPr>
          <w:rFonts w:hint="eastAsia" w:ascii="楷体_GB2312" w:hAnsi="楷体_GB2312" w:eastAsia="楷体_GB2312" w:cs="楷体_GB2312"/>
          <w:b/>
          <w:bCs/>
        </w:rPr>
        <w:t>（一）加强中介服务管理。</w:t>
      </w:r>
      <w:r>
        <w:rPr>
          <w:rFonts w:hint="eastAsia" w:ascii="仿宋_GB2312" w:hAnsi="仿宋_GB2312" w:cs="仿宋_GB2312"/>
        </w:rPr>
        <w:t>严</w:t>
      </w:r>
      <w:r>
        <w:rPr>
          <w:rFonts w:hint="eastAsia"/>
          <w:szCs w:val="28"/>
        </w:rPr>
        <w:t>格执行《河南省投资项目审批中介服务事项清单目录》，放开中介服务市场，采取竞争性方式选择中介机构。区有关部门要依职责加强对本行业中介服务机构的监管，督促中介服务机构明确收费标准、服务流程、办结时限等，提高中介服务质量和效率。</w:t>
      </w:r>
    </w:p>
    <w:p>
      <w:pPr>
        <w:rPr>
          <w:rFonts w:hint="eastAsia"/>
          <w:szCs w:val="28"/>
        </w:rPr>
      </w:pPr>
      <w:r>
        <w:rPr>
          <w:rFonts w:hint="eastAsia" w:ascii="仿宋_GB2312" w:hAnsi="仿宋_GB2312" w:cs="仿宋_GB2312"/>
        </w:rPr>
        <w:t>　　</w:t>
      </w:r>
      <w:r>
        <w:rPr>
          <w:rFonts w:hint="eastAsia" w:ascii="楷体_GB2312" w:hAnsi="楷体_GB2312" w:eastAsia="楷体_GB2312" w:cs="楷体_GB2312"/>
          <w:b/>
          <w:bCs/>
        </w:rPr>
        <w:t>（二）加强部门协同监管</w:t>
      </w:r>
      <w:r>
        <w:rPr>
          <w:rFonts w:hint="eastAsia" w:ascii="仿宋_GB2312" w:hAnsi="仿宋_GB2312" w:cs="仿宋_GB2312"/>
        </w:rPr>
        <w:t>。</w:t>
      </w:r>
      <w:r>
        <w:rPr>
          <w:rFonts w:hint="eastAsia"/>
          <w:szCs w:val="28"/>
        </w:rPr>
        <w:t>对企业信用承诺事项，区有关部门制定统一的事中事后监管办法，结合承诺书标准和要求，明确信用监管的节点、标准、内容及举措。项目建设过程中，项目单位要严格遵守承诺，按照法律、法规规定和标准施工，加强工程质量、安全生产和进度管理。政府部门按照“谁审批谁监管、谁主管谁监管”的原则，建立抽查和定期检查制度，加强全过程监督管理，及时排查并消除隐患。围绕承诺、开工、建设、验收关键节点，重点审核企业是否严格按照政府制定的准入条件和标准作出承诺，是否严格按照承诺标准和要求编制建设方案，是否严格按照承诺的标准和要求施工建设。</w:t>
      </w:r>
    </w:p>
    <w:p>
      <w:pPr>
        <w:rPr>
          <w:rFonts w:hint="eastAsia"/>
          <w:szCs w:val="28"/>
        </w:rPr>
      </w:pPr>
      <w:r>
        <w:rPr>
          <w:rFonts w:hint="eastAsia" w:ascii="仿宋_GB2312" w:hAnsi="仿宋_GB2312" w:cs="仿宋_GB2312"/>
        </w:rPr>
        <w:t>　　</w:t>
      </w:r>
      <w:r>
        <w:rPr>
          <w:rFonts w:hint="eastAsia" w:ascii="楷体_GB2312" w:hAnsi="楷体_GB2312" w:eastAsia="楷体_GB2312" w:cs="楷体_GB2312"/>
          <w:b/>
          <w:bCs/>
        </w:rPr>
        <w:t>（三）加强联合惩戒。</w:t>
      </w:r>
      <w:r>
        <w:rPr>
          <w:rFonts w:hint="eastAsia"/>
          <w:szCs w:val="28"/>
        </w:rPr>
        <w:t>依托省在线平台和信用信息共享平台，加强信用承诺、过程监管信息及奖惩等信息录入工作，建立监管信用信息共享机制，实现部门间信用信息互联共享，强化纵横联动、协同监管。健全企业信用评价机制和“红黑名单”制度，对守信者开通优先办理、简化程序等“绿色通道”，对失信行为实行联合惩戒，强化对企业守信践诺的约束作用。</w:t>
      </w:r>
    </w:p>
    <w:p>
      <w:pPr>
        <w:ind w:firstLine="632" w:firstLineChars="200"/>
        <w:rPr>
          <w:rFonts w:hint="eastAsia" w:ascii="仿宋_GB2312" w:hAnsi="仿宋_GB2312" w:cs="仿宋_GB2312"/>
        </w:rPr>
      </w:pPr>
      <w:r>
        <w:rPr>
          <w:rFonts w:hint="eastAsia" w:ascii="黑体" w:hAnsi="黑体" w:eastAsia="黑体" w:cs="黑体"/>
        </w:rPr>
        <w:t>第十条  附则</w:t>
      </w:r>
    </w:p>
    <w:p>
      <w:pPr>
        <w:ind w:firstLine="632" w:firstLineChars="200"/>
        <w:rPr>
          <w:rFonts w:hint="eastAsia"/>
          <w:szCs w:val="28"/>
        </w:rPr>
      </w:pPr>
      <w:r>
        <w:rPr>
          <w:rFonts w:hint="eastAsia"/>
          <w:szCs w:val="28"/>
        </w:rPr>
        <w:t>（一）区有关部门要依据本细则在各自职责范围内，于2022年6月底前对涉及本部门的事项明确准入条件和标准、操作流程、承诺书格式文本、监管要求及奖惩措施等，建立健全全流程配套制度体系，加强政策研究和学习，提高一线工作人员的服务意识和实操能力。</w:t>
      </w:r>
    </w:p>
    <w:p>
      <w:pPr>
        <w:ind w:firstLine="632" w:firstLineChars="200"/>
        <w:rPr>
          <w:rFonts w:hint="eastAsia"/>
          <w:szCs w:val="28"/>
        </w:rPr>
      </w:pPr>
      <w:r>
        <w:rPr>
          <w:rFonts w:hint="eastAsia"/>
          <w:szCs w:val="28"/>
        </w:rPr>
        <w:t>（二）领导小组定期组织开展调研检查，对推进缓慢的事项进行跟踪督办，适时对承诺制改革情况开展评估，并不断调整优化改革举措。各有关部门要把握改革进展，梳理工作建议，解决存在问题，每月20日前将进展情况报送至领导小组办公室。</w:t>
      </w:r>
    </w:p>
    <w:p>
      <w:pPr>
        <w:ind w:firstLine="632" w:firstLineChars="200"/>
        <w:rPr>
          <w:rFonts w:hint="eastAsia"/>
          <w:szCs w:val="28"/>
        </w:rPr>
      </w:pPr>
      <w:r>
        <w:rPr>
          <w:rFonts w:hint="eastAsia"/>
          <w:szCs w:val="28"/>
        </w:rPr>
        <w:t>（三）本细则自印发之日起施行。</w:t>
      </w:r>
    </w:p>
    <w:p>
      <w:pPr>
        <w:ind w:firstLine="632" w:firstLineChars="200"/>
        <w:rPr>
          <w:rFonts w:hint="eastAsia" w:ascii="仿宋_GB2312" w:hAnsi="仿宋_GB2312" w:cs="仿宋_GB2312"/>
        </w:rPr>
      </w:pPr>
    </w:p>
    <w:p>
      <w:pPr>
        <w:ind w:firstLine="632" w:firstLineChars="200"/>
        <w:rPr>
          <w:rFonts w:hint="eastAsia" w:ascii="仿宋_GB2312" w:hAnsi="仿宋_GB2312" w:cs="仿宋_GB2312"/>
        </w:rPr>
      </w:pPr>
    </w:p>
    <w:p>
      <w:pPr>
        <w:ind w:firstLine="632" w:firstLineChars="200"/>
      </w:pPr>
      <w:r>
        <w:rPr>
          <w:rFonts w:hAnsi="仿宋_GB2312"/>
        </w:rPr>
        <w:t>附件：</w:t>
      </w:r>
      <w:r>
        <w:t>1</w:t>
      </w:r>
      <w:r>
        <w:rPr>
          <w:rFonts w:hAnsi="仿宋_GB2312"/>
        </w:rPr>
        <w:t>．建安区企业投资项目承诺制改革事项清单</w:t>
      </w:r>
    </w:p>
    <w:p>
      <w:pPr>
        <w:ind w:firstLine="632" w:firstLineChars="200"/>
        <w:rPr>
          <w:spacing w:val="-8"/>
        </w:rPr>
      </w:pPr>
      <w:r>
        <w:t xml:space="preserve">      2</w:t>
      </w:r>
      <w:r>
        <w:rPr>
          <w:rFonts w:hAnsi="仿宋_GB2312"/>
        </w:rPr>
        <w:t>．</w:t>
      </w:r>
      <w:r>
        <w:rPr>
          <w:rFonts w:hAnsi="仿宋_GB2312"/>
          <w:spacing w:val="-8"/>
        </w:rPr>
        <w:t>建安区一般性企业投资项目承诺制改革操作流程图</w:t>
      </w:r>
    </w:p>
    <w:p>
      <w:pPr>
        <w:ind w:firstLine="632" w:firstLineChars="200"/>
      </w:pPr>
      <w:r>
        <w:t xml:space="preserve">      3</w:t>
      </w:r>
      <w:r>
        <w:rPr>
          <w:rFonts w:hAnsi="仿宋_GB2312"/>
        </w:rPr>
        <w:t>．建安区先进制造业开发区一般性企业投资项目承</w:t>
      </w:r>
    </w:p>
    <w:p>
      <w:pPr>
        <w:ind w:firstLine="2054" w:firstLineChars="650"/>
      </w:pPr>
      <w:r>
        <w:rPr>
          <w:rFonts w:hAnsi="仿宋_GB2312"/>
        </w:rPr>
        <w:t>诺制改革操作流程图</w:t>
      </w:r>
    </w:p>
    <w:p/>
    <w:p>
      <w:pPr>
        <w:rPr>
          <w:rFonts w:hint="eastAsia"/>
        </w:rPr>
      </w:pPr>
    </w:p>
    <w:p>
      <w:pPr>
        <w:rPr>
          <w:rFonts w:hint="eastAsia"/>
        </w:rPr>
      </w:pPr>
    </w:p>
    <w:p>
      <w:pPr>
        <w:rPr>
          <w:rFonts w:hint="eastAsia"/>
        </w:rPr>
      </w:pPr>
    </w:p>
    <w:p>
      <w:pPr>
        <w:sectPr>
          <w:footerReference r:id="rId3" w:type="default"/>
          <w:footerReference r:id="rId4" w:type="even"/>
          <w:pgSz w:w="11906" w:h="16838"/>
          <w:pgMar w:top="2098" w:right="1531" w:bottom="1984" w:left="1531" w:header="1701" w:footer="1701" w:gutter="0"/>
          <w:cols w:space="720" w:num="1"/>
          <w:docGrid w:type="linesAndChars" w:linePitch="579" w:charSpace="-849"/>
        </w:sectPr>
      </w:pPr>
    </w:p>
    <w:p>
      <w:pPr>
        <w:rPr>
          <w:rFonts w:ascii="黑体" w:hAnsi="黑体" w:eastAsia="黑体"/>
        </w:rPr>
      </w:pPr>
      <w:r>
        <w:rPr>
          <w:rFonts w:hint="eastAsia" w:ascii="黑体" w:hAnsi="黑体" w:eastAsia="黑体"/>
        </w:rPr>
        <w:t>附件1</w:t>
      </w:r>
    </w:p>
    <w:p>
      <w:pPr>
        <w:spacing w:line="600" w:lineRule="exact"/>
        <w:jc w:val="center"/>
        <w:rPr>
          <w:rFonts w:hint="eastAsia" w:ascii="方正小标宋简体" w:eastAsia="方正小标宋简体"/>
          <w:sz w:val="44"/>
          <w:szCs w:val="44"/>
        </w:rPr>
      </w:pPr>
      <w:r>
        <w:rPr>
          <w:rFonts w:hint="eastAsia" w:ascii="方正小标宋简体" w:eastAsia="方正小标宋简体"/>
          <w:sz w:val="44"/>
          <w:szCs w:val="44"/>
        </w:rPr>
        <w:t>建安区企业投资项目承诺制改革事项清单</w:t>
      </w:r>
    </w:p>
    <w:tbl>
      <w:tblPr>
        <w:tblStyle w:val="6"/>
        <w:tblW w:w="14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2369"/>
        <w:gridCol w:w="6637"/>
        <w:gridCol w:w="1738"/>
        <w:gridCol w:w="1580"/>
        <w:gridCol w:w="1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eastAsia="黑体"/>
                <w:sz w:val="21"/>
                <w:szCs w:val="21"/>
              </w:rPr>
            </w:pPr>
            <w:r>
              <w:rPr>
                <w:rFonts w:hint="eastAsia" w:hAnsi="黑体" w:eastAsia="黑体"/>
                <w:sz w:val="21"/>
                <w:szCs w:val="21"/>
              </w:rPr>
              <w:t>序</w:t>
            </w:r>
          </w:p>
          <w:p>
            <w:pPr>
              <w:spacing w:line="300" w:lineRule="exact"/>
              <w:jc w:val="center"/>
              <w:rPr>
                <w:rFonts w:hint="eastAsia" w:eastAsia="黑体"/>
                <w:sz w:val="21"/>
                <w:szCs w:val="21"/>
              </w:rPr>
            </w:pPr>
            <w:r>
              <w:rPr>
                <w:rFonts w:hint="eastAsia" w:hAnsi="黑体" w:eastAsia="黑体"/>
                <w:sz w:val="21"/>
                <w:szCs w:val="21"/>
              </w:rPr>
              <w:t>号</w:t>
            </w:r>
          </w:p>
        </w:tc>
        <w:tc>
          <w:tcPr>
            <w:tcW w:w="2369" w:type="dxa"/>
            <w:noWrap w:val="0"/>
            <w:vAlign w:val="center"/>
          </w:tcPr>
          <w:p>
            <w:pPr>
              <w:spacing w:line="300" w:lineRule="exact"/>
              <w:jc w:val="center"/>
              <w:rPr>
                <w:rFonts w:eastAsia="黑体"/>
                <w:sz w:val="21"/>
                <w:szCs w:val="21"/>
              </w:rPr>
            </w:pPr>
            <w:r>
              <w:rPr>
                <w:rFonts w:hint="eastAsia" w:hAnsi="黑体" w:eastAsia="黑体"/>
                <w:sz w:val="21"/>
                <w:szCs w:val="21"/>
              </w:rPr>
              <w:t>事项名称</w:t>
            </w:r>
          </w:p>
        </w:tc>
        <w:tc>
          <w:tcPr>
            <w:tcW w:w="6637" w:type="dxa"/>
            <w:noWrap w:val="0"/>
            <w:vAlign w:val="center"/>
          </w:tcPr>
          <w:p>
            <w:pPr>
              <w:spacing w:line="300" w:lineRule="exact"/>
              <w:jc w:val="center"/>
              <w:rPr>
                <w:rFonts w:eastAsia="黑体"/>
                <w:sz w:val="21"/>
                <w:szCs w:val="21"/>
              </w:rPr>
            </w:pPr>
            <w:r>
              <w:rPr>
                <w:rFonts w:hint="eastAsia" w:hAnsi="黑体" w:eastAsia="黑体"/>
                <w:sz w:val="21"/>
                <w:szCs w:val="21"/>
              </w:rPr>
              <w:t>改革举措</w:t>
            </w:r>
          </w:p>
        </w:tc>
        <w:tc>
          <w:tcPr>
            <w:tcW w:w="1738" w:type="dxa"/>
            <w:noWrap w:val="0"/>
            <w:vAlign w:val="center"/>
          </w:tcPr>
          <w:p>
            <w:pPr>
              <w:spacing w:line="300" w:lineRule="exact"/>
              <w:jc w:val="center"/>
              <w:rPr>
                <w:rFonts w:eastAsia="黑体"/>
                <w:sz w:val="21"/>
                <w:szCs w:val="21"/>
              </w:rPr>
            </w:pPr>
            <w:r>
              <w:rPr>
                <w:rFonts w:hint="eastAsia" w:hAnsi="黑体" w:eastAsia="黑体"/>
                <w:sz w:val="21"/>
                <w:szCs w:val="21"/>
              </w:rPr>
              <w:t>责任部门</w:t>
            </w:r>
          </w:p>
        </w:tc>
        <w:tc>
          <w:tcPr>
            <w:tcW w:w="1580" w:type="dxa"/>
            <w:noWrap w:val="0"/>
            <w:vAlign w:val="center"/>
          </w:tcPr>
          <w:p>
            <w:pPr>
              <w:spacing w:line="300" w:lineRule="exact"/>
              <w:jc w:val="center"/>
              <w:rPr>
                <w:rFonts w:eastAsia="黑体"/>
                <w:sz w:val="21"/>
                <w:szCs w:val="21"/>
              </w:rPr>
            </w:pPr>
            <w:r>
              <w:rPr>
                <w:rFonts w:hint="eastAsia" w:hAnsi="黑体" w:eastAsia="黑体"/>
                <w:sz w:val="21"/>
                <w:szCs w:val="21"/>
              </w:rPr>
              <w:t>办理</w:t>
            </w:r>
          </w:p>
          <w:p>
            <w:pPr>
              <w:spacing w:line="300" w:lineRule="exact"/>
              <w:jc w:val="center"/>
              <w:rPr>
                <w:rFonts w:eastAsia="黑体"/>
                <w:sz w:val="21"/>
                <w:szCs w:val="21"/>
              </w:rPr>
            </w:pPr>
            <w:r>
              <w:rPr>
                <w:rFonts w:hint="eastAsia" w:hAnsi="黑体" w:eastAsia="黑体"/>
                <w:sz w:val="21"/>
                <w:szCs w:val="21"/>
              </w:rPr>
              <w:t>时限</w:t>
            </w:r>
          </w:p>
        </w:tc>
        <w:tc>
          <w:tcPr>
            <w:tcW w:w="1896" w:type="dxa"/>
            <w:noWrap w:val="0"/>
            <w:vAlign w:val="center"/>
          </w:tcPr>
          <w:p>
            <w:pPr>
              <w:spacing w:line="300" w:lineRule="exact"/>
              <w:jc w:val="center"/>
              <w:rPr>
                <w:rFonts w:eastAsia="黑体"/>
                <w:sz w:val="21"/>
                <w:szCs w:val="21"/>
              </w:rPr>
            </w:pPr>
            <w:r>
              <w:rPr>
                <w:rFonts w:hint="eastAsia" w:hAnsi="黑体" w:eastAsia="黑体"/>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4802" w:type="dxa"/>
            <w:gridSpan w:val="6"/>
            <w:noWrap w:val="0"/>
            <w:vAlign w:val="center"/>
          </w:tcPr>
          <w:p>
            <w:pPr>
              <w:spacing w:line="300" w:lineRule="exact"/>
              <w:jc w:val="center"/>
              <w:rPr>
                <w:rFonts w:hint="eastAsia" w:eastAsia="楷体_GB2312"/>
                <w:b/>
                <w:sz w:val="21"/>
                <w:szCs w:val="21"/>
              </w:rPr>
            </w:pPr>
            <w:r>
              <w:rPr>
                <w:rFonts w:hint="eastAsia" w:eastAsia="楷体_GB2312"/>
                <w:b/>
                <w:sz w:val="21"/>
                <w:szCs w:val="21"/>
              </w:rPr>
              <w:t>政府统一服务事项 （13 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w:t>
            </w:r>
          </w:p>
        </w:tc>
        <w:tc>
          <w:tcPr>
            <w:tcW w:w="2369" w:type="dxa"/>
            <w:noWrap w:val="0"/>
            <w:vAlign w:val="center"/>
          </w:tcPr>
          <w:p>
            <w:pPr>
              <w:kinsoku w:val="0"/>
              <w:autoSpaceDE w:val="0"/>
              <w:autoSpaceDN w:val="0"/>
              <w:adjustRightInd w:val="0"/>
              <w:spacing w:line="300" w:lineRule="exact"/>
              <w:ind w:left="21"/>
              <w:textAlignment w:val="baseline"/>
              <w:rPr>
                <w:rFonts w:cs="Arial"/>
                <w:color w:val="000000"/>
                <w:spacing w:val="4"/>
                <w:sz w:val="21"/>
                <w:szCs w:val="21"/>
              </w:rPr>
            </w:pPr>
            <w:r>
              <w:rPr>
                <w:rFonts w:hint="eastAsia" w:hAnsi="宋体"/>
                <w:spacing w:val="4"/>
                <w:sz w:val="21"/>
                <w:szCs w:val="21"/>
              </w:rPr>
              <w:t>工程建设涉及城市绿地、树木审批</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供地前踏勘核实，需要移除绿地树木的在供地前完成。</w:t>
            </w:r>
          </w:p>
        </w:tc>
        <w:tc>
          <w:tcPr>
            <w:tcW w:w="1738" w:type="dxa"/>
            <w:noWrap w:val="0"/>
            <w:vAlign w:val="center"/>
          </w:tcPr>
          <w:p>
            <w:pPr>
              <w:kinsoku w:val="0"/>
              <w:autoSpaceDE w:val="0"/>
              <w:autoSpaceDN w:val="0"/>
              <w:adjustRightInd w:val="0"/>
              <w:spacing w:line="300" w:lineRule="exact"/>
              <w:ind w:left="23" w:right="37" w:hanging="3"/>
              <w:jc w:val="center"/>
              <w:textAlignment w:val="baseline"/>
              <w:rPr>
                <w:rFonts w:hint="eastAsia"/>
                <w:sz w:val="21"/>
                <w:szCs w:val="21"/>
              </w:rPr>
            </w:pPr>
            <w:r>
              <w:rPr>
                <w:rFonts w:hint="eastAsia" w:hAnsi="宋体"/>
                <w:sz w:val="21"/>
                <w:szCs w:val="21"/>
              </w:rPr>
              <w:t>住房城乡建设</w:t>
            </w:r>
          </w:p>
          <w:p>
            <w:pPr>
              <w:kinsoku w:val="0"/>
              <w:autoSpaceDE w:val="0"/>
              <w:autoSpaceDN w:val="0"/>
              <w:adjustRightInd w:val="0"/>
              <w:spacing w:line="300" w:lineRule="exact"/>
              <w:ind w:left="23" w:right="37" w:hanging="3"/>
              <w:jc w:val="center"/>
              <w:textAlignment w:val="baseline"/>
              <w:rPr>
                <w:rFonts w:cs="Arial"/>
                <w:color w:val="000000"/>
                <w:sz w:val="21"/>
                <w:szCs w:val="21"/>
              </w:rPr>
            </w:pPr>
            <w:r>
              <w:rPr>
                <w:rFonts w:hint="eastAsia" w:hAnsi="宋体"/>
                <w:sz w:val="21"/>
                <w:szCs w:val="21"/>
              </w:rPr>
              <w:t>部门</w:t>
            </w:r>
          </w:p>
        </w:tc>
        <w:tc>
          <w:tcPr>
            <w:tcW w:w="1580" w:type="dxa"/>
            <w:vMerge w:val="restart"/>
            <w:noWrap w:val="0"/>
            <w:vAlign w:val="center"/>
          </w:tcPr>
          <w:p>
            <w:pPr>
              <w:spacing w:line="300" w:lineRule="exact"/>
              <w:jc w:val="center"/>
              <w:rPr>
                <w:rFonts w:hint="eastAsia"/>
                <w:sz w:val="21"/>
                <w:szCs w:val="21"/>
              </w:rPr>
            </w:pPr>
            <w:r>
              <w:rPr>
                <w:rFonts w:hint="eastAsia" w:hAnsi="宋体"/>
                <w:sz w:val="21"/>
                <w:szCs w:val="21"/>
              </w:rPr>
              <w:t>供地前政府统一服务，不计入审批时限</w:t>
            </w:r>
          </w:p>
        </w:tc>
        <w:tc>
          <w:tcPr>
            <w:tcW w:w="1896"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移除类事项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w:t>
            </w:r>
          </w:p>
        </w:tc>
        <w:tc>
          <w:tcPr>
            <w:tcW w:w="2369" w:type="dxa"/>
            <w:noWrap w:val="0"/>
            <w:vAlign w:val="center"/>
          </w:tcPr>
          <w:p>
            <w:pPr>
              <w:kinsoku w:val="0"/>
              <w:autoSpaceDE w:val="0"/>
              <w:autoSpaceDN w:val="0"/>
              <w:adjustRightInd w:val="0"/>
              <w:spacing w:line="300" w:lineRule="exact"/>
              <w:ind w:left="24"/>
              <w:textAlignment w:val="baseline"/>
              <w:rPr>
                <w:rFonts w:cs="Arial"/>
                <w:color w:val="000000"/>
                <w:sz w:val="21"/>
                <w:szCs w:val="21"/>
              </w:rPr>
            </w:pPr>
            <w:r>
              <w:rPr>
                <w:rFonts w:hint="eastAsia" w:hAnsi="宋体"/>
                <w:sz w:val="21"/>
                <w:szCs w:val="21"/>
              </w:rPr>
              <w:t>市政设施建设类审批</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供地前踏勘核实，开工前完成市政管网接入项目用地边界。</w:t>
            </w:r>
          </w:p>
        </w:tc>
        <w:tc>
          <w:tcPr>
            <w:tcW w:w="1738" w:type="dxa"/>
            <w:noWrap w:val="0"/>
            <w:vAlign w:val="center"/>
          </w:tcPr>
          <w:p>
            <w:pPr>
              <w:kinsoku w:val="0"/>
              <w:autoSpaceDE w:val="0"/>
              <w:autoSpaceDN w:val="0"/>
              <w:adjustRightInd w:val="0"/>
              <w:spacing w:line="300" w:lineRule="exact"/>
              <w:ind w:left="23" w:right="37" w:hanging="3"/>
              <w:jc w:val="center"/>
              <w:textAlignment w:val="baseline"/>
              <w:rPr>
                <w:rFonts w:hint="eastAsia"/>
                <w:sz w:val="21"/>
                <w:szCs w:val="21"/>
              </w:rPr>
            </w:pPr>
            <w:r>
              <w:rPr>
                <w:rFonts w:hint="eastAsia" w:hAnsi="宋体"/>
                <w:sz w:val="21"/>
                <w:szCs w:val="21"/>
              </w:rPr>
              <w:t>住房城乡建设</w:t>
            </w:r>
          </w:p>
          <w:p>
            <w:pPr>
              <w:kinsoku w:val="0"/>
              <w:autoSpaceDE w:val="0"/>
              <w:autoSpaceDN w:val="0"/>
              <w:adjustRightInd w:val="0"/>
              <w:spacing w:line="300" w:lineRule="exact"/>
              <w:ind w:left="23" w:right="37" w:hanging="3"/>
              <w:jc w:val="center"/>
              <w:textAlignment w:val="baseline"/>
              <w:rPr>
                <w:rFonts w:cs="Arial"/>
                <w:color w:val="000000"/>
                <w:sz w:val="21"/>
                <w:szCs w:val="21"/>
              </w:rPr>
            </w:pPr>
            <w:r>
              <w:rPr>
                <w:rFonts w:hint="eastAsia" w:hAnsi="宋体"/>
                <w:sz w:val="21"/>
                <w:szCs w:val="21"/>
              </w:rPr>
              <w:t>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移除类事项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3</w:t>
            </w:r>
          </w:p>
        </w:tc>
        <w:tc>
          <w:tcPr>
            <w:tcW w:w="2369" w:type="dxa"/>
            <w:noWrap w:val="0"/>
            <w:vAlign w:val="center"/>
          </w:tcPr>
          <w:p>
            <w:pPr>
              <w:kinsoku w:val="0"/>
              <w:autoSpaceDE w:val="0"/>
              <w:autoSpaceDN w:val="0"/>
              <w:adjustRightInd w:val="0"/>
              <w:spacing w:line="300" w:lineRule="exact"/>
              <w:ind w:left="21" w:right="21" w:firstLine="13"/>
              <w:textAlignment w:val="baseline"/>
              <w:rPr>
                <w:rFonts w:cs="Arial"/>
                <w:color w:val="000000"/>
                <w:sz w:val="21"/>
                <w:szCs w:val="21"/>
              </w:rPr>
            </w:pPr>
            <w:r>
              <w:rPr>
                <w:rFonts w:hint="eastAsia" w:hAnsi="宋体" w:cs="Arial"/>
                <w:color w:val="000000"/>
                <w:sz w:val="21"/>
                <w:szCs w:val="21"/>
              </w:rPr>
              <w:t>因工程建设需要拆除、改动、迁移供</w:t>
            </w:r>
            <w:r>
              <w:rPr>
                <w:rFonts w:hint="eastAsia" w:cs="Arial"/>
                <w:color w:val="000000"/>
                <w:sz w:val="21"/>
                <w:szCs w:val="21"/>
              </w:rPr>
              <w:t xml:space="preserve"> </w:t>
            </w:r>
            <w:r>
              <w:rPr>
                <w:rFonts w:hint="eastAsia" w:hAnsi="宋体" w:cs="Arial"/>
                <w:color w:val="000000"/>
                <w:sz w:val="21"/>
                <w:szCs w:val="21"/>
              </w:rPr>
              <w:t>水、排水与污水处理设施审核</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供地前踏勘核实，需要进行设施迁改的在供地前完成。</w:t>
            </w:r>
          </w:p>
        </w:tc>
        <w:tc>
          <w:tcPr>
            <w:tcW w:w="1738" w:type="dxa"/>
            <w:noWrap w:val="0"/>
            <w:vAlign w:val="center"/>
          </w:tcPr>
          <w:p>
            <w:pPr>
              <w:kinsoku w:val="0"/>
              <w:autoSpaceDE w:val="0"/>
              <w:autoSpaceDN w:val="0"/>
              <w:adjustRightInd w:val="0"/>
              <w:spacing w:line="300" w:lineRule="exact"/>
              <w:ind w:left="23" w:right="37" w:hanging="3"/>
              <w:jc w:val="center"/>
              <w:textAlignment w:val="baseline"/>
              <w:rPr>
                <w:rFonts w:hint="eastAsia"/>
                <w:sz w:val="21"/>
                <w:szCs w:val="21"/>
              </w:rPr>
            </w:pPr>
            <w:r>
              <w:rPr>
                <w:rFonts w:hint="eastAsia" w:hAnsi="宋体"/>
                <w:sz w:val="21"/>
                <w:szCs w:val="21"/>
              </w:rPr>
              <w:t>住房城乡建设</w:t>
            </w:r>
          </w:p>
          <w:p>
            <w:pPr>
              <w:kinsoku w:val="0"/>
              <w:autoSpaceDE w:val="0"/>
              <w:autoSpaceDN w:val="0"/>
              <w:adjustRightInd w:val="0"/>
              <w:spacing w:line="300" w:lineRule="exact"/>
              <w:ind w:left="23" w:right="37" w:hanging="3"/>
              <w:jc w:val="center"/>
              <w:textAlignment w:val="baseline"/>
              <w:rPr>
                <w:rFonts w:cs="Arial"/>
                <w:color w:val="000000"/>
                <w:sz w:val="21"/>
                <w:szCs w:val="21"/>
              </w:rPr>
            </w:pPr>
            <w:r>
              <w:rPr>
                <w:rFonts w:hint="eastAsia" w:hAnsi="宋体"/>
                <w:sz w:val="21"/>
                <w:szCs w:val="21"/>
              </w:rPr>
              <w:t>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移除类事项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4</w:t>
            </w:r>
          </w:p>
        </w:tc>
        <w:tc>
          <w:tcPr>
            <w:tcW w:w="2369" w:type="dxa"/>
            <w:noWrap w:val="0"/>
            <w:vAlign w:val="center"/>
          </w:tcPr>
          <w:p>
            <w:pPr>
              <w:kinsoku w:val="0"/>
              <w:autoSpaceDE w:val="0"/>
              <w:autoSpaceDN w:val="0"/>
              <w:adjustRightInd w:val="0"/>
              <w:spacing w:line="300" w:lineRule="exact"/>
              <w:ind w:left="21"/>
              <w:textAlignment w:val="baseline"/>
              <w:rPr>
                <w:rFonts w:cs="Arial"/>
                <w:color w:val="000000"/>
                <w:sz w:val="21"/>
                <w:szCs w:val="21"/>
              </w:rPr>
            </w:pPr>
            <w:r>
              <w:rPr>
                <w:rFonts w:hint="eastAsia" w:hAnsi="宋体"/>
                <w:spacing w:val="4"/>
                <w:sz w:val="21"/>
                <w:szCs w:val="21"/>
              </w:rPr>
              <w:t>农业灌排影响意见书（占用农业灌溉水源灌排工程设施补偿项目审批）</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供地前探勘核实，开工前建设替代工程。</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移除类事项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5</w:t>
            </w:r>
          </w:p>
        </w:tc>
        <w:tc>
          <w:tcPr>
            <w:tcW w:w="2369" w:type="dxa"/>
            <w:noWrap w:val="0"/>
            <w:vAlign w:val="center"/>
          </w:tcPr>
          <w:p>
            <w:pPr>
              <w:kinsoku w:val="0"/>
              <w:autoSpaceDE w:val="0"/>
              <w:autoSpaceDN w:val="0"/>
              <w:adjustRightInd w:val="0"/>
              <w:spacing w:line="300" w:lineRule="exact"/>
              <w:ind w:left="19" w:right="24"/>
              <w:textAlignment w:val="baseline"/>
              <w:rPr>
                <w:rFonts w:cs="Arial"/>
                <w:color w:val="000000"/>
                <w:sz w:val="21"/>
                <w:szCs w:val="21"/>
              </w:rPr>
            </w:pPr>
            <w:r>
              <w:rPr>
                <w:rFonts w:hint="eastAsia" w:hAnsi="宋体"/>
                <w:sz w:val="21"/>
                <w:szCs w:val="21"/>
              </w:rPr>
              <w:t>新建、扩建、改建建设工程避免危害气象探测环境初审</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供地前气象部门会同规划部门，在规划部门出具规划设计条件时，综合考虑气象</w:t>
            </w:r>
            <w:r>
              <w:rPr>
                <w:rFonts w:hint="eastAsia"/>
                <w:sz w:val="21"/>
                <w:szCs w:val="21"/>
              </w:rPr>
              <w:t> </w:t>
            </w:r>
            <w:r>
              <w:rPr>
                <w:rFonts w:hint="eastAsia" w:hAnsi="宋体"/>
                <w:sz w:val="21"/>
                <w:szCs w:val="21"/>
              </w:rPr>
              <w:t>站点分布。确需迁站，且符合气象台站迁建条件的，供地前完成气象台站迁建。</w:t>
            </w:r>
          </w:p>
        </w:tc>
        <w:tc>
          <w:tcPr>
            <w:tcW w:w="1738" w:type="dxa"/>
            <w:noWrap w:val="0"/>
            <w:vAlign w:val="center"/>
          </w:tcPr>
          <w:p>
            <w:pPr>
              <w:kinsoku w:val="0"/>
              <w:autoSpaceDE w:val="0"/>
              <w:autoSpaceDN w:val="0"/>
              <w:adjustRightInd w:val="0"/>
              <w:spacing w:line="300" w:lineRule="exact"/>
              <w:ind w:left="22"/>
              <w:jc w:val="center"/>
              <w:textAlignment w:val="baseline"/>
              <w:rPr>
                <w:rFonts w:cs="Arial"/>
                <w:color w:val="000000"/>
                <w:sz w:val="21"/>
                <w:szCs w:val="21"/>
              </w:rPr>
            </w:pPr>
            <w:r>
              <w:rPr>
                <w:rFonts w:hint="eastAsia" w:hAnsi="宋体"/>
                <w:sz w:val="21"/>
                <w:szCs w:val="21"/>
              </w:rPr>
              <w:t>气象部门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6</w:t>
            </w:r>
          </w:p>
        </w:tc>
        <w:tc>
          <w:tcPr>
            <w:tcW w:w="2369" w:type="dxa"/>
            <w:noWrap w:val="0"/>
            <w:vAlign w:val="center"/>
          </w:tcPr>
          <w:p>
            <w:pPr>
              <w:kinsoku w:val="0"/>
              <w:autoSpaceDE w:val="0"/>
              <w:autoSpaceDN w:val="0"/>
              <w:adjustRightInd w:val="0"/>
              <w:spacing w:line="300" w:lineRule="exact"/>
              <w:ind w:left="21"/>
              <w:textAlignment w:val="baseline"/>
              <w:rPr>
                <w:rFonts w:cs="Arial"/>
                <w:color w:val="000000"/>
                <w:sz w:val="21"/>
                <w:szCs w:val="21"/>
              </w:rPr>
            </w:pPr>
            <w:r>
              <w:rPr>
                <w:rFonts w:hint="eastAsia" w:hAnsi="宋体"/>
                <w:sz w:val="21"/>
                <w:szCs w:val="21"/>
              </w:rPr>
              <w:t>建设工程文物保护和考古许可</w:t>
            </w:r>
          </w:p>
        </w:tc>
        <w:tc>
          <w:tcPr>
            <w:tcW w:w="6637" w:type="dxa"/>
            <w:noWrap w:val="0"/>
            <w:vAlign w:val="center"/>
          </w:tcPr>
          <w:p>
            <w:pPr>
              <w:kinsoku w:val="0"/>
              <w:autoSpaceDE w:val="0"/>
              <w:autoSpaceDN w:val="0"/>
              <w:adjustRightInd w:val="0"/>
              <w:spacing w:line="300" w:lineRule="exact"/>
              <w:ind w:left="20" w:hanging="1"/>
              <w:textAlignment w:val="baseline"/>
              <w:rPr>
                <w:rFonts w:cs="Arial"/>
                <w:color w:val="000000"/>
                <w:spacing w:val="-4"/>
                <w:sz w:val="21"/>
                <w:szCs w:val="21"/>
              </w:rPr>
            </w:pPr>
            <w:r>
              <w:rPr>
                <w:rFonts w:hint="eastAsia" w:hAnsi="宋体"/>
                <w:spacing w:val="-4"/>
                <w:sz w:val="21"/>
                <w:szCs w:val="21"/>
              </w:rPr>
              <w:t>供地前编制区域文物调查勘探报告，</w:t>
            </w:r>
            <w:r>
              <w:rPr>
                <w:rFonts w:hint="eastAsia"/>
                <w:spacing w:val="-4"/>
                <w:sz w:val="21"/>
                <w:szCs w:val="21"/>
              </w:rPr>
              <w:t xml:space="preserve"> </w:t>
            </w:r>
            <w:r>
              <w:rPr>
                <w:rFonts w:hint="eastAsia" w:hAnsi="宋体"/>
                <w:spacing w:val="-4"/>
                <w:sz w:val="21"/>
                <w:szCs w:val="21"/>
              </w:rPr>
              <w:t>明确是否涉及文物，若发现地下文物埋藏，依照法律法规开展考古发掘，确保净地出让。不能净地出让的，按要求办理审批，落实文物保护要求。</w:t>
            </w:r>
          </w:p>
        </w:tc>
        <w:tc>
          <w:tcPr>
            <w:tcW w:w="1738"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文物部门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7</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地质灾害危险性评估</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供地前开展区域地质灾害危险性评估。</w:t>
            </w:r>
          </w:p>
        </w:tc>
        <w:tc>
          <w:tcPr>
            <w:tcW w:w="1738" w:type="dxa"/>
            <w:noWrap w:val="0"/>
            <w:vAlign w:val="center"/>
          </w:tcPr>
          <w:p>
            <w:pPr>
              <w:kinsoku w:val="0"/>
              <w:autoSpaceDE w:val="0"/>
              <w:autoSpaceDN w:val="0"/>
              <w:adjustRightInd w:val="0"/>
              <w:spacing w:line="300" w:lineRule="exact"/>
              <w:ind w:left="24" w:right="37" w:firstLine="30"/>
              <w:jc w:val="center"/>
              <w:textAlignment w:val="baseline"/>
              <w:rPr>
                <w:rFonts w:cs="Arial"/>
                <w:color w:val="000000"/>
                <w:sz w:val="21"/>
                <w:szCs w:val="21"/>
              </w:rPr>
            </w:pPr>
            <w:r>
              <w:rPr>
                <w:rFonts w:hint="eastAsia" w:hAnsi="宋体"/>
                <w:sz w:val="21"/>
                <w:szCs w:val="21"/>
              </w:rPr>
              <w:t>自然资源部门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8</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地震安全性评价</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供地前开展区域地震安全性评价。</w:t>
            </w:r>
          </w:p>
        </w:tc>
        <w:tc>
          <w:tcPr>
            <w:tcW w:w="1738" w:type="dxa"/>
            <w:noWrap w:val="0"/>
            <w:vAlign w:val="center"/>
          </w:tcPr>
          <w:p>
            <w:pPr>
              <w:kinsoku w:val="0"/>
              <w:autoSpaceDE w:val="0"/>
              <w:autoSpaceDN w:val="0"/>
              <w:adjustRightInd w:val="0"/>
              <w:spacing w:line="300" w:lineRule="exact"/>
              <w:ind w:left="21"/>
              <w:jc w:val="center"/>
              <w:textAlignment w:val="baseline"/>
              <w:rPr>
                <w:rFonts w:cs="Arial"/>
                <w:color w:val="000000"/>
                <w:sz w:val="21"/>
                <w:szCs w:val="21"/>
              </w:rPr>
            </w:pPr>
            <w:r>
              <w:rPr>
                <w:rFonts w:hint="eastAsia" w:hAnsi="宋体"/>
                <w:sz w:val="21"/>
                <w:szCs w:val="21"/>
              </w:rPr>
              <w:t>应急部门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9</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生产建设项目水土保持方案审批</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供地前编制区域水土保持方案，供地后由企业结合项目具体情况进行承诺。</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restart"/>
            <w:noWrap w:val="0"/>
            <w:vAlign w:val="center"/>
          </w:tcPr>
          <w:p>
            <w:pPr>
              <w:spacing w:line="300" w:lineRule="exact"/>
              <w:jc w:val="center"/>
              <w:rPr>
                <w:rFonts w:hint="eastAsia"/>
                <w:sz w:val="21"/>
                <w:szCs w:val="21"/>
              </w:rPr>
            </w:pPr>
            <w:r>
              <w:rPr>
                <w:rFonts w:hint="eastAsia" w:hAnsi="宋体"/>
                <w:sz w:val="21"/>
                <w:szCs w:val="21"/>
              </w:rPr>
              <w:t>供地前政府统一服务，不计入审批时限</w:t>
            </w: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10</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洪水影响评价审批</w:t>
            </w:r>
          </w:p>
        </w:tc>
        <w:tc>
          <w:tcPr>
            <w:tcW w:w="6637" w:type="dxa"/>
            <w:noWrap w:val="0"/>
            <w:vAlign w:val="center"/>
          </w:tcPr>
          <w:p>
            <w:pPr>
              <w:kinsoku w:val="0"/>
              <w:autoSpaceDE w:val="0"/>
              <w:autoSpaceDN w:val="0"/>
              <w:adjustRightInd w:val="0"/>
              <w:spacing w:line="300" w:lineRule="exact"/>
              <w:ind w:left="19"/>
              <w:textAlignment w:val="baseline"/>
              <w:rPr>
                <w:spacing w:val="4"/>
                <w:sz w:val="21"/>
                <w:szCs w:val="21"/>
              </w:rPr>
            </w:pPr>
            <w:r>
              <w:rPr>
                <w:rFonts w:hint="eastAsia" w:hAnsi="宋体"/>
                <w:spacing w:val="4"/>
                <w:sz w:val="21"/>
                <w:szCs w:val="21"/>
              </w:rPr>
              <w:t>供地前编制区域洪水影响评价报告，供地后结合项目具体情况进行承诺。</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continue"/>
            <w:noWrap w:val="0"/>
            <w:vAlign w:val="center"/>
          </w:tcPr>
          <w:p>
            <w:pPr>
              <w:spacing w:line="300" w:lineRule="exact"/>
              <w:ind w:left="21"/>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11</w:t>
            </w:r>
          </w:p>
        </w:tc>
        <w:tc>
          <w:tcPr>
            <w:tcW w:w="2369" w:type="dxa"/>
            <w:noWrap w:val="0"/>
            <w:vAlign w:val="center"/>
          </w:tcPr>
          <w:p>
            <w:pPr>
              <w:kinsoku w:val="0"/>
              <w:autoSpaceDE w:val="0"/>
              <w:autoSpaceDN w:val="0"/>
              <w:adjustRightInd w:val="0"/>
              <w:spacing w:line="300" w:lineRule="exact"/>
              <w:ind w:left="21"/>
              <w:textAlignment w:val="baseline"/>
              <w:rPr>
                <w:rFonts w:cs="Arial"/>
                <w:color w:val="000000"/>
                <w:sz w:val="21"/>
                <w:szCs w:val="21"/>
              </w:rPr>
            </w:pPr>
            <w:r>
              <w:rPr>
                <w:rFonts w:hint="eastAsia" w:hAnsi="宋体"/>
                <w:sz w:val="21"/>
                <w:szCs w:val="21"/>
              </w:rPr>
              <w:t>取水许可审批</w:t>
            </w:r>
          </w:p>
        </w:tc>
        <w:tc>
          <w:tcPr>
            <w:tcW w:w="6637"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供地前编制区域水资源论证报告，供地后由企业结合项目具体情况进行承诺。</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12</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环境影响评价审批</w:t>
            </w:r>
          </w:p>
        </w:tc>
        <w:tc>
          <w:tcPr>
            <w:tcW w:w="6637" w:type="dxa"/>
            <w:noWrap w:val="0"/>
            <w:vAlign w:val="center"/>
          </w:tcPr>
          <w:p>
            <w:pPr>
              <w:kinsoku w:val="0"/>
              <w:autoSpaceDE w:val="0"/>
              <w:autoSpaceDN w:val="0"/>
              <w:adjustRightInd w:val="0"/>
              <w:spacing w:line="300" w:lineRule="exact"/>
              <w:ind w:left="19" w:right="19"/>
              <w:textAlignment w:val="baseline"/>
              <w:rPr>
                <w:rFonts w:cs="Arial"/>
                <w:color w:val="000000"/>
                <w:sz w:val="21"/>
                <w:szCs w:val="21"/>
              </w:rPr>
            </w:pPr>
            <w:r>
              <w:rPr>
                <w:rFonts w:hint="eastAsia" w:hAnsi="宋体"/>
                <w:sz w:val="21"/>
                <w:szCs w:val="21"/>
              </w:rPr>
              <w:t>供地前编制规划环境影响评价报告、区域环境现状评估报告，供地后由企业根据事项相关准入条件和标准，结合项目具体情况进行承诺。</w:t>
            </w:r>
          </w:p>
        </w:tc>
        <w:tc>
          <w:tcPr>
            <w:tcW w:w="1738" w:type="dxa"/>
            <w:noWrap w:val="0"/>
            <w:vAlign w:val="center"/>
          </w:tcPr>
          <w:p>
            <w:pPr>
              <w:kinsoku w:val="0"/>
              <w:autoSpaceDE w:val="0"/>
              <w:autoSpaceDN w:val="0"/>
              <w:adjustRightInd w:val="0"/>
              <w:spacing w:line="300" w:lineRule="exact"/>
              <w:ind w:left="23" w:right="37"/>
              <w:jc w:val="center"/>
              <w:textAlignment w:val="baseline"/>
              <w:rPr>
                <w:rFonts w:cs="Arial"/>
                <w:color w:val="000000"/>
                <w:sz w:val="21"/>
                <w:szCs w:val="21"/>
              </w:rPr>
            </w:pPr>
            <w:r>
              <w:rPr>
                <w:rFonts w:hint="eastAsia" w:hAnsi="宋体"/>
                <w:sz w:val="21"/>
                <w:szCs w:val="21"/>
              </w:rPr>
              <w:t>生态环保部门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2" w:type="dxa"/>
            <w:noWrap w:val="0"/>
            <w:vAlign w:val="center"/>
          </w:tcPr>
          <w:p>
            <w:pPr>
              <w:spacing w:line="300" w:lineRule="exact"/>
              <w:jc w:val="center"/>
              <w:rPr>
                <w:rFonts w:hint="eastAsia"/>
                <w:sz w:val="21"/>
                <w:szCs w:val="21"/>
              </w:rPr>
            </w:pPr>
            <w:r>
              <w:rPr>
                <w:rFonts w:hint="eastAsia"/>
                <w:sz w:val="21"/>
                <w:szCs w:val="21"/>
              </w:rPr>
              <w:t>13</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节能审查</w:t>
            </w:r>
          </w:p>
        </w:tc>
        <w:tc>
          <w:tcPr>
            <w:tcW w:w="6637" w:type="dxa"/>
            <w:noWrap w:val="0"/>
            <w:vAlign w:val="center"/>
          </w:tcPr>
          <w:p>
            <w:pPr>
              <w:kinsoku w:val="0"/>
              <w:autoSpaceDE w:val="0"/>
              <w:autoSpaceDN w:val="0"/>
              <w:adjustRightInd w:val="0"/>
              <w:spacing w:line="300" w:lineRule="exact"/>
              <w:ind w:left="22" w:right="19" w:hanging="3"/>
              <w:textAlignment w:val="baseline"/>
              <w:rPr>
                <w:rFonts w:cs="Arial"/>
                <w:color w:val="000000"/>
                <w:sz w:val="21"/>
                <w:szCs w:val="21"/>
              </w:rPr>
            </w:pPr>
            <w:r>
              <w:rPr>
                <w:rFonts w:hint="eastAsia" w:hAnsi="宋体"/>
                <w:sz w:val="21"/>
                <w:szCs w:val="21"/>
              </w:rPr>
              <w:t>供地前编制区域节能报告，供地后企业根据事项相关准入条件和标准，结合项目具体情况进行承诺。</w:t>
            </w:r>
          </w:p>
        </w:tc>
        <w:tc>
          <w:tcPr>
            <w:tcW w:w="1738" w:type="dxa"/>
            <w:noWrap w:val="0"/>
            <w:vAlign w:val="center"/>
          </w:tcPr>
          <w:p>
            <w:pPr>
              <w:kinsoku w:val="0"/>
              <w:autoSpaceDE w:val="0"/>
              <w:autoSpaceDN w:val="0"/>
              <w:adjustRightInd w:val="0"/>
              <w:spacing w:line="300" w:lineRule="exact"/>
              <w:ind w:left="24" w:right="37"/>
              <w:jc w:val="center"/>
              <w:textAlignment w:val="baseline"/>
              <w:rPr>
                <w:rFonts w:cs="Arial"/>
                <w:color w:val="000000"/>
                <w:sz w:val="21"/>
                <w:szCs w:val="21"/>
              </w:rPr>
            </w:pPr>
            <w:r>
              <w:rPr>
                <w:rFonts w:hint="eastAsia" w:hAnsi="宋体"/>
                <w:sz w:val="21"/>
                <w:szCs w:val="21"/>
              </w:rPr>
              <w:t>发展改革部门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kinsoku w:val="0"/>
              <w:autoSpaceDE w:val="0"/>
              <w:autoSpaceDN w:val="0"/>
              <w:adjustRightInd w:val="0"/>
              <w:spacing w:line="300" w:lineRule="exact"/>
              <w:ind w:left="37"/>
              <w:jc w:val="center"/>
              <w:textAlignment w:val="baseline"/>
              <w:rPr>
                <w:rFonts w:cs="Arial"/>
                <w:color w:val="000000"/>
                <w:sz w:val="21"/>
                <w:szCs w:val="21"/>
              </w:rPr>
            </w:pPr>
            <w:r>
              <w:rPr>
                <w:rFonts w:hint="eastAsia" w:hAnsi="宋体"/>
                <w:sz w:val="21"/>
                <w:szCs w:val="21"/>
              </w:rPr>
              <w:t>区域评估事项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4802" w:type="dxa"/>
            <w:gridSpan w:val="6"/>
            <w:noWrap w:val="0"/>
            <w:vAlign w:val="center"/>
          </w:tcPr>
          <w:p>
            <w:pPr>
              <w:spacing w:line="300" w:lineRule="exact"/>
              <w:jc w:val="center"/>
              <w:rPr>
                <w:rFonts w:hint="eastAsia" w:eastAsia="楷体_GB2312"/>
                <w:b/>
                <w:sz w:val="21"/>
                <w:szCs w:val="21"/>
              </w:rPr>
            </w:pPr>
            <w:r>
              <w:rPr>
                <w:rFonts w:hint="eastAsia" w:eastAsia="楷体_GB2312"/>
                <w:b/>
                <w:sz w:val="21"/>
                <w:szCs w:val="21"/>
              </w:rPr>
              <w:t>企业信用承诺事项 （8 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14</w:t>
            </w:r>
          </w:p>
        </w:tc>
        <w:tc>
          <w:tcPr>
            <w:tcW w:w="2369"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生产建设项目水土保持方案审批</w:t>
            </w:r>
          </w:p>
        </w:tc>
        <w:tc>
          <w:tcPr>
            <w:tcW w:w="6637" w:type="dxa"/>
            <w:noWrap w:val="0"/>
            <w:vAlign w:val="center"/>
          </w:tcPr>
          <w:p>
            <w:pPr>
              <w:kinsoku w:val="0"/>
              <w:autoSpaceDE w:val="0"/>
              <w:autoSpaceDN w:val="0"/>
              <w:adjustRightInd w:val="0"/>
              <w:spacing w:line="300" w:lineRule="exact"/>
              <w:ind w:left="20" w:right="31" w:firstLine="1"/>
              <w:textAlignment w:val="baseline"/>
              <w:rPr>
                <w:rFonts w:cs="Arial"/>
                <w:color w:val="000000"/>
                <w:sz w:val="21"/>
                <w:szCs w:val="21"/>
              </w:rPr>
            </w:pPr>
            <w:r>
              <w:rPr>
                <w:rFonts w:hint="eastAsia" w:hAnsi="宋体"/>
                <w:sz w:val="21"/>
                <w:szCs w:val="21"/>
              </w:rPr>
              <w:t>完成政府统一服务的基础上，企业根据事项准入条件和标准向部门作出书面承诺，部门完成行政许可。</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restart"/>
            <w:noWrap w:val="0"/>
            <w:vAlign w:val="center"/>
          </w:tcPr>
          <w:p>
            <w:pPr>
              <w:spacing w:line="300" w:lineRule="exact"/>
              <w:ind w:left="65"/>
              <w:jc w:val="center"/>
              <w:rPr>
                <w:sz w:val="21"/>
                <w:szCs w:val="21"/>
              </w:rPr>
            </w:pPr>
            <w:r>
              <w:rPr>
                <w:rFonts w:hint="eastAsia" w:hAnsi="宋体"/>
                <w:sz w:val="21"/>
                <w:szCs w:val="21"/>
              </w:rPr>
              <w:t>与保留</w:t>
            </w:r>
          </w:p>
          <w:p>
            <w:pPr>
              <w:spacing w:line="300" w:lineRule="exact"/>
              <w:ind w:left="67"/>
              <w:jc w:val="center"/>
              <w:rPr>
                <w:rFonts w:hint="eastAsia"/>
                <w:sz w:val="21"/>
                <w:szCs w:val="21"/>
              </w:rPr>
            </w:pPr>
            <w:r>
              <w:rPr>
                <w:rFonts w:hint="eastAsia" w:hAnsi="宋体"/>
                <w:sz w:val="21"/>
                <w:szCs w:val="21"/>
              </w:rPr>
              <w:t>审批事</w:t>
            </w:r>
          </w:p>
          <w:p>
            <w:pPr>
              <w:spacing w:line="300" w:lineRule="exact"/>
              <w:ind w:left="64"/>
              <w:jc w:val="center"/>
              <w:rPr>
                <w:rFonts w:hint="eastAsia"/>
                <w:sz w:val="21"/>
                <w:szCs w:val="21"/>
              </w:rPr>
            </w:pPr>
            <w:r>
              <w:rPr>
                <w:rFonts w:hint="eastAsia" w:hAnsi="宋体"/>
                <w:sz w:val="21"/>
                <w:szCs w:val="21"/>
              </w:rPr>
              <w:t>项平行</w:t>
            </w:r>
          </w:p>
          <w:p>
            <w:pPr>
              <w:spacing w:line="300" w:lineRule="exact"/>
              <w:jc w:val="center"/>
              <w:rPr>
                <w:rFonts w:hint="eastAsia"/>
                <w:sz w:val="21"/>
                <w:szCs w:val="21"/>
              </w:rPr>
            </w:pPr>
            <w:r>
              <w:rPr>
                <w:rFonts w:hint="eastAsia" w:hAnsi="宋体"/>
                <w:sz w:val="21"/>
                <w:szCs w:val="21"/>
              </w:rPr>
              <w:t>办理</w:t>
            </w: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15</w:t>
            </w:r>
          </w:p>
        </w:tc>
        <w:tc>
          <w:tcPr>
            <w:tcW w:w="2369"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洪水影响评价审批</w:t>
            </w:r>
          </w:p>
        </w:tc>
        <w:tc>
          <w:tcPr>
            <w:tcW w:w="6637" w:type="dxa"/>
            <w:noWrap w:val="0"/>
            <w:vAlign w:val="center"/>
          </w:tcPr>
          <w:p>
            <w:pPr>
              <w:kinsoku w:val="0"/>
              <w:autoSpaceDE w:val="0"/>
              <w:autoSpaceDN w:val="0"/>
              <w:adjustRightInd w:val="0"/>
              <w:spacing w:line="300" w:lineRule="exact"/>
              <w:ind w:left="20" w:right="31" w:firstLine="1"/>
              <w:textAlignment w:val="baseline"/>
              <w:rPr>
                <w:rFonts w:cs="Arial"/>
                <w:color w:val="000000"/>
                <w:sz w:val="21"/>
                <w:szCs w:val="21"/>
              </w:rPr>
            </w:pPr>
            <w:r>
              <w:rPr>
                <w:rFonts w:hint="eastAsia" w:hAnsi="宋体"/>
                <w:sz w:val="21"/>
                <w:szCs w:val="21"/>
              </w:rPr>
              <w:t>完成政府统一服务的基础上，企业根据事项准入条件和标准向部门作出书面承诺，部门完成行政许可。</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16</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取水许可审批</w:t>
            </w:r>
          </w:p>
        </w:tc>
        <w:tc>
          <w:tcPr>
            <w:tcW w:w="6637" w:type="dxa"/>
            <w:noWrap w:val="0"/>
            <w:vAlign w:val="center"/>
          </w:tcPr>
          <w:p>
            <w:pPr>
              <w:kinsoku w:val="0"/>
              <w:autoSpaceDE w:val="0"/>
              <w:autoSpaceDN w:val="0"/>
              <w:adjustRightInd w:val="0"/>
              <w:spacing w:line="300" w:lineRule="exact"/>
              <w:ind w:left="20" w:right="31" w:firstLine="1"/>
              <w:textAlignment w:val="baseline"/>
              <w:rPr>
                <w:rFonts w:cs="Arial"/>
                <w:color w:val="000000"/>
                <w:sz w:val="21"/>
                <w:szCs w:val="21"/>
              </w:rPr>
            </w:pPr>
            <w:r>
              <w:rPr>
                <w:rFonts w:hint="eastAsia" w:hAnsi="宋体"/>
                <w:sz w:val="21"/>
                <w:szCs w:val="21"/>
              </w:rPr>
              <w:t>完成政府统一服务的基础上，企业根据事项准入条件和标准向部门作出书面承诺，部门完成行政许可。</w:t>
            </w:r>
          </w:p>
        </w:tc>
        <w:tc>
          <w:tcPr>
            <w:tcW w:w="1738" w:type="dxa"/>
            <w:noWrap w:val="0"/>
            <w:vAlign w:val="center"/>
          </w:tcPr>
          <w:p>
            <w:pPr>
              <w:kinsoku w:val="0"/>
              <w:autoSpaceDE w:val="0"/>
              <w:autoSpaceDN w:val="0"/>
              <w:adjustRightInd w:val="0"/>
              <w:spacing w:line="300" w:lineRule="exact"/>
              <w:ind w:left="24"/>
              <w:jc w:val="center"/>
              <w:textAlignment w:val="baseline"/>
              <w:rPr>
                <w:rFonts w:cs="Arial"/>
                <w:color w:val="000000"/>
                <w:sz w:val="21"/>
                <w:szCs w:val="21"/>
              </w:rPr>
            </w:pPr>
            <w:r>
              <w:rPr>
                <w:rFonts w:hint="eastAsia" w:hAnsi="宋体"/>
                <w:sz w:val="21"/>
                <w:szCs w:val="21"/>
              </w:rPr>
              <w:t>水利部门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17</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环境影响评价审批</w:t>
            </w:r>
          </w:p>
        </w:tc>
        <w:tc>
          <w:tcPr>
            <w:tcW w:w="6637" w:type="dxa"/>
            <w:noWrap w:val="0"/>
            <w:vAlign w:val="center"/>
          </w:tcPr>
          <w:p>
            <w:pPr>
              <w:kinsoku w:val="0"/>
              <w:autoSpaceDE w:val="0"/>
              <w:autoSpaceDN w:val="0"/>
              <w:adjustRightInd w:val="0"/>
              <w:spacing w:line="300" w:lineRule="exact"/>
              <w:ind w:left="20" w:right="31" w:firstLine="1"/>
              <w:textAlignment w:val="baseline"/>
              <w:rPr>
                <w:rFonts w:cs="Arial"/>
                <w:color w:val="000000"/>
                <w:sz w:val="21"/>
                <w:szCs w:val="21"/>
              </w:rPr>
            </w:pPr>
            <w:r>
              <w:rPr>
                <w:rFonts w:hint="eastAsia" w:hAnsi="宋体"/>
                <w:sz w:val="21"/>
                <w:szCs w:val="21"/>
              </w:rPr>
              <w:t>完成政府统一服务的基础上，企业根据事项准入条件和标准向部门作出书面承诺，部门完成行政许可。</w:t>
            </w:r>
          </w:p>
        </w:tc>
        <w:tc>
          <w:tcPr>
            <w:tcW w:w="1738" w:type="dxa"/>
            <w:noWrap w:val="0"/>
            <w:vAlign w:val="center"/>
          </w:tcPr>
          <w:p>
            <w:pPr>
              <w:kinsoku w:val="0"/>
              <w:autoSpaceDE w:val="0"/>
              <w:autoSpaceDN w:val="0"/>
              <w:adjustRightInd w:val="0"/>
              <w:spacing w:line="300" w:lineRule="exact"/>
              <w:ind w:left="23" w:right="37"/>
              <w:jc w:val="center"/>
              <w:textAlignment w:val="baseline"/>
              <w:rPr>
                <w:rFonts w:cs="Arial"/>
                <w:color w:val="000000"/>
                <w:sz w:val="21"/>
                <w:szCs w:val="21"/>
              </w:rPr>
            </w:pPr>
            <w:r>
              <w:rPr>
                <w:rFonts w:hint="eastAsia" w:hAnsi="宋体"/>
                <w:sz w:val="21"/>
                <w:szCs w:val="21"/>
              </w:rPr>
              <w:t>生态环保部门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r>
              <w:rPr>
                <w:rFonts w:hint="eastAsia" w:hAnsi="宋体"/>
                <w:sz w:val="21"/>
                <w:szCs w:val="21"/>
              </w:rPr>
              <w:t>负面清单内项目仍按规定审批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18</w:t>
            </w:r>
          </w:p>
        </w:tc>
        <w:tc>
          <w:tcPr>
            <w:tcW w:w="2369" w:type="dxa"/>
            <w:noWrap w:val="0"/>
            <w:vAlign w:val="center"/>
          </w:tcPr>
          <w:p>
            <w:pPr>
              <w:kinsoku w:val="0"/>
              <w:autoSpaceDE w:val="0"/>
              <w:autoSpaceDN w:val="0"/>
              <w:adjustRightInd w:val="0"/>
              <w:spacing w:line="300" w:lineRule="exact"/>
              <w:ind w:left="18"/>
              <w:textAlignment w:val="baseline"/>
              <w:rPr>
                <w:rFonts w:cs="Arial"/>
                <w:color w:val="000000"/>
                <w:sz w:val="21"/>
                <w:szCs w:val="21"/>
              </w:rPr>
            </w:pPr>
            <w:r>
              <w:rPr>
                <w:rFonts w:hint="eastAsia" w:hAnsi="宋体"/>
                <w:sz w:val="21"/>
                <w:szCs w:val="21"/>
              </w:rPr>
              <w:t>节能审查</w:t>
            </w:r>
          </w:p>
        </w:tc>
        <w:tc>
          <w:tcPr>
            <w:tcW w:w="6637" w:type="dxa"/>
            <w:noWrap w:val="0"/>
            <w:vAlign w:val="center"/>
          </w:tcPr>
          <w:p>
            <w:pPr>
              <w:kinsoku w:val="0"/>
              <w:autoSpaceDE w:val="0"/>
              <w:autoSpaceDN w:val="0"/>
              <w:adjustRightInd w:val="0"/>
              <w:spacing w:line="300" w:lineRule="exact"/>
              <w:ind w:left="20" w:right="31" w:firstLine="1"/>
              <w:textAlignment w:val="baseline"/>
              <w:rPr>
                <w:rFonts w:cs="Arial"/>
                <w:color w:val="000000"/>
                <w:sz w:val="21"/>
                <w:szCs w:val="21"/>
              </w:rPr>
            </w:pPr>
            <w:r>
              <w:rPr>
                <w:rFonts w:hint="eastAsia" w:hAnsi="宋体"/>
                <w:sz w:val="21"/>
                <w:szCs w:val="21"/>
              </w:rPr>
              <w:t>完成政府统一服务的基础上，企业根据事项准入条件和标准向部门作出书面承诺，部门完成行政许可。</w:t>
            </w:r>
          </w:p>
        </w:tc>
        <w:tc>
          <w:tcPr>
            <w:tcW w:w="1738" w:type="dxa"/>
            <w:noWrap w:val="0"/>
            <w:vAlign w:val="center"/>
          </w:tcPr>
          <w:p>
            <w:pPr>
              <w:kinsoku w:val="0"/>
              <w:autoSpaceDE w:val="0"/>
              <w:autoSpaceDN w:val="0"/>
              <w:adjustRightInd w:val="0"/>
              <w:spacing w:line="300" w:lineRule="exact"/>
              <w:ind w:left="24" w:right="37"/>
              <w:jc w:val="center"/>
              <w:textAlignment w:val="baseline"/>
              <w:rPr>
                <w:rFonts w:cs="Arial"/>
                <w:color w:val="000000"/>
                <w:sz w:val="21"/>
                <w:szCs w:val="21"/>
              </w:rPr>
            </w:pPr>
            <w:r>
              <w:rPr>
                <w:rFonts w:hint="eastAsia" w:hAnsi="宋体"/>
                <w:sz w:val="21"/>
                <w:szCs w:val="21"/>
              </w:rPr>
              <w:t>发展改革部门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r>
              <w:rPr>
                <w:rFonts w:hint="eastAsia" w:hAnsi="宋体"/>
                <w:sz w:val="21"/>
                <w:szCs w:val="21"/>
              </w:rPr>
              <w:t>负面清单内项目仍按规定审批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19</w:t>
            </w:r>
          </w:p>
        </w:tc>
        <w:tc>
          <w:tcPr>
            <w:tcW w:w="2369" w:type="dxa"/>
            <w:noWrap w:val="0"/>
            <w:vAlign w:val="center"/>
          </w:tcPr>
          <w:p>
            <w:pPr>
              <w:kinsoku w:val="0"/>
              <w:autoSpaceDE w:val="0"/>
              <w:autoSpaceDN w:val="0"/>
              <w:adjustRightInd w:val="0"/>
              <w:spacing w:line="300" w:lineRule="exact"/>
              <w:ind w:left="22"/>
              <w:textAlignment w:val="baseline"/>
              <w:rPr>
                <w:rFonts w:cs="Arial"/>
                <w:color w:val="000000"/>
                <w:sz w:val="21"/>
                <w:szCs w:val="21"/>
              </w:rPr>
            </w:pPr>
            <w:r>
              <w:rPr>
                <w:rFonts w:hint="eastAsia" w:hAnsi="宋体"/>
                <w:sz w:val="21"/>
                <w:szCs w:val="21"/>
              </w:rPr>
              <w:t>雷电防护装置设计审核</w:t>
            </w:r>
          </w:p>
        </w:tc>
        <w:tc>
          <w:tcPr>
            <w:tcW w:w="6637" w:type="dxa"/>
            <w:noWrap w:val="0"/>
            <w:vAlign w:val="center"/>
          </w:tcPr>
          <w:p>
            <w:pPr>
              <w:kinsoku w:val="0"/>
              <w:autoSpaceDE w:val="0"/>
              <w:autoSpaceDN w:val="0"/>
              <w:adjustRightInd w:val="0"/>
              <w:spacing w:line="300" w:lineRule="exact"/>
              <w:ind w:left="23"/>
              <w:textAlignment w:val="baseline"/>
              <w:rPr>
                <w:rFonts w:cs="Arial"/>
                <w:color w:val="000000"/>
                <w:sz w:val="21"/>
                <w:szCs w:val="21"/>
              </w:rPr>
            </w:pPr>
            <w:r>
              <w:rPr>
                <w:rFonts w:hint="eastAsia" w:hAnsi="宋体"/>
                <w:sz w:val="21"/>
                <w:szCs w:val="21"/>
              </w:rPr>
              <w:t>企业向部门作出书面承诺，部门完成行政许可。</w:t>
            </w:r>
          </w:p>
        </w:tc>
        <w:tc>
          <w:tcPr>
            <w:tcW w:w="1738" w:type="dxa"/>
            <w:noWrap w:val="0"/>
            <w:vAlign w:val="center"/>
          </w:tcPr>
          <w:p>
            <w:pPr>
              <w:kinsoku w:val="0"/>
              <w:autoSpaceDE w:val="0"/>
              <w:autoSpaceDN w:val="0"/>
              <w:adjustRightInd w:val="0"/>
              <w:spacing w:line="300" w:lineRule="exact"/>
              <w:ind w:left="22"/>
              <w:jc w:val="center"/>
              <w:textAlignment w:val="baseline"/>
              <w:rPr>
                <w:rFonts w:cs="Arial"/>
                <w:color w:val="000000"/>
                <w:sz w:val="21"/>
                <w:szCs w:val="21"/>
              </w:rPr>
            </w:pPr>
            <w:r>
              <w:rPr>
                <w:rFonts w:hint="eastAsia" w:hAnsi="宋体"/>
                <w:sz w:val="21"/>
                <w:szCs w:val="21"/>
              </w:rPr>
              <w:t>气象部门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20</w:t>
            </w:r>
          </w:p>
        </w:tc>
        <w:tc>
          <w:tcPr>
            <w:tcW w:w="2369" w:type="dxa"/>
            <w:noWrap w:val="0"/>
            <w:vAlign w:val="center"/>
          </w:tcPr>
          <w:p>
            <w:pPr>
              <w:kinsoku w:val="0"/>
              <w:autoSpaceDE w:val="0"/>
              <w:autoSpaceDN w:val="0"/>
              <w:adjustRightInd w:val="0"/>
              <w:spacing w:line="300" w:lineRule="exact"/>
              <w:ind w:left="30"/>
              <w:textAlignment w:val="baseline"/>
              <w:rPr>
                <w:rFonts w:cs="Arial"/>
                <w:color w:val="000000"/>
                <w:sz w:val="21"/>
                <w:szCs w:val="21"/>
              </w:rPr>
            </w:pPr>
            <w:r>
              <w:rPr>
                <w:rFonts w:hint="eastAsia" w:hAnsi="宋体"/>
                <w:sz w:val="21"/>
                <w:szCs w:val="21"/>
              </w:rPr>
              <w:t>防空地下室建设审批</w:t>
            </w:r>
          </w:p>
        </w:tc>
        <w:tc>
          <w:tcPr>
            <w:tcW w:w="6637" w:type="dxa"/>
            <w:noWrap w:val="0"/>
            <w:vAlign w:val="center"/>
          </w:tcPr>
          <w:p>
            <w:pPr>
              <w:kinsoku w:val="0"/>
              <w:autoSpaceDE w:val="0"/>
              <w:autoSpaceDN w:val="0"/>
              <w:adjustRightInd w:val="0"/>
              <w:spacing w:line="300" w:lineRule="exact"/>
              <w:ind w:left="23"/>
              <w:textAlignment w:val="baseline"/>
              <w:rPr>
                <w:rFonts w:cs="Arial"/>
                <w:color w:val="000000"/>
                <w:sz w:val="21"/>
                <w:szCs w:val="21"/>
              </w:rPr>
            </w:pPr>
            <w:r>
              <w:rPr>
                <w:rFonts w:hint="eastAsia" w:hAnsi="宋体"/>
                <w:sz w:val="21"/>
                <w:szCs w:val="21"/>
              </w:rPr>
              <w:t>企业向部门作出书面承诺，部门完成行政许可。</w:t>
            </w:r>
          </w:p>
        </w:tc>
        <w:tc>
          <w:tcPr>
            <w:tcW w:w="1738" w:type="dxa"/>
            <w:noWrap w:val="0"/>
            <w:vAlign w:val="center"/>
          </w:tcPr>
          <w:p>
            <w:pPr>
              <w:kinsoku w:val="0"/>
              <w:autoSpaceDE w:val="0"/>
              <w:autoSpaceDN w:val="0"/>
              <w:adjustRightInd w:val="0"/>
              <w:spacing w:line="300" w:lineRule="exact"/>
              <w:ind w:left="23"/>
              <w:jc w:val="center"/>
              <w:textAlignment w:val="baseline"/>
              <w:rPr>
                <w:rFonts w:cs="Arial"/>
                <w:color w:val="000000"/>
                <w:sz w:val="21"/>
                <w:szCs w:val="21"/>
              </w:rPr>
            </w:pPr>
            <w:r>
              <w:rPr>
                <w:rFonts w:hint="eastAsia" w:hAnsi="宋体"/>
                <w:sz w:val="21"/>
                <w:szCs w:val="21"/>
              </w:rPr>
              <w:t>人防部门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21</w:t>
            </w:r>
          </w:p>
        </w:tc>
        <w:tc>
          <w:tcPr>
            <w:tcW w:w="2369" w:type="dxa"/>
            <w:noWrap w:val="0"/>
            <w:vAlign w:val="center"/>
          </w:tcPr>
          <w:p>
            <w:pPr>
              <w:kinsoku w:val="0"/>
              <w:autoSpaceDE w:val="0"/>
              <w:autoSpaceDN w:val="0"/>
              <w:adjustRightInd w:val="0"/>
              <w:spacing w:line="300" w:lineRule="exact"/>
              <w:ind w:left="19" w:right="23"/>
              <w:textAlignment w:val="baseline"/>
              <w:rPr>
                <w:rFonts w:cs="Arial"/>
                <w:color w:val="000000"/>
                <w:sz w:val="21"/>
                <w:szCs w:val="21"/>
              </w:rPr>
            </w:pPr>
            <w:r>
              <w:rPr>
                <w:rFonts w:hint="eastAsia" w:hAnsi="宋体"/>
                <w:sz w:val="21"/>
                <w:szCs w:val="21"/>
              </w:rPr>
              <w:t>建筑工程施工许可证核发（部分前置条件）</w:t>
            </w:r>
          </w:p>
        </w:tc>
        <w:tc>
          <w:tcPr>
            <w:tcW w:w="6637" w:type="dxa"/>
            <w:noWrap w:val="0"/>
            <w:vAlign w:val="center"/>
          </w:tcPr>
          <w:p>
            <w:pPr>
              <w:kinsoku w:val="0"/>
              <w:autoSpaceDE w:val="0"/>
              <w:autoSpaceDN w:val="0"/>
              <w:adjustRightInd w:val="0"/>
              <w:spacing w:line="300" w:lineRule="exact"/>
              <w:ind w:left="23"/>
              <w:textAlignment w:val="baseline"/>
              <w:rPr>
                <w:rFonts w:cs="Arial"/>
                <w:color w:val="000000"/>
                <w:sz w:val="21"/>
                <w:szCs w:val="21"/>
              </w:rPr>
            </w:pPr>
            <w:r>
              <w:rPr>
                <w:rFonts w:hint="eastAsia" w:hAnsi="宋体"/>
                <w:sz w:val="21"/>
                <w:szCs w:val="21"/>
              </w:rPr>
              <w:t>企业向部门作出书面承诺，部门完成行政许可。</w:t>
            </w:r>
          </w:p>
        </w:tc>
        <w:tc>
          <w:tcPr>
            <w:tcW w:w="1738" w:type="dxa"/>
            <w:noWrap w:val="0"/>
            <w:vAlign w:val="center"/>
          </w:tcPr>
          <w:p>
            <w:pPr>
              <w:kinsoku w:val="0"/>
              <w:autoSpaceDE w:val="0"/>
              <w:autoSpaceDN w:val="0"/>
              <w:adjustRightInd w:val="0"/>
              <w:spacing w:line="300" w:lineRule="exact"/>
              <w:ind w:left="23" w:right="37" w:hanging="3"/>
              <w:jc w:val="center"/>
              <w:textAlignment w:val="baseline"/>
              <w:rPr>
                <w:rFonts w:hint="eastAsia"/>
                <w:sz w:val="21"/>
                <w:szCs w:val="21"/>
              </w:rPr>
            </w:pPr>
            <w:r>
              <w:rPr>
                <w:rFonts w:hint="eastAsia" w:hAnsi="宋体"/>
                <w:sz w:val="21"/>
                <w:szCs w:val="21"/>
              </w:rPr>
              <w:t>住房城乡建设</w:t>
            </w:r>
          </w:p>
          <w:p>
            <w:pPr>
              <w:kinsoku w:val="0"/>
              <w:autoSpaceDE w:val="0"/>
              <w:autoSpaceDN w:val="0"/>
              <w:adjustRightInd w:val="0"/>
              <w:spacing w:line="300" w:lineRule="exact"/>
              <w:ind w:left="23" w:right="37" w:hanging="3"/>
              <w:jc w:val="center"/>
              <w:textAlignment w:val="baseline"/>
              <w:rPr>
                <w:rFonts w:cs="Arial"/>
                <w:color w:val="000000"/>
                <w:sz w:val="21"/>
                <w:szCs w:val="21"/>
              </w:rPr>
            </w:pPr>
            <w:r>
              <w:rPr>
                <w:rFonts w:hint="eastAsia" w:hAnsi="宋体"/>
                <w:sz w:val="21"/>
                <w:szCs w:val="21"/>
              </w:rPr>
              <w:t>部门</w:t>
            </w:r>
          </w:p>
        </w:tc>
        <w:tc>
          <w:tcPr>
            <w:tcW w:w="1580" w:type="dxa"/>
            <w:vMerge w:val="continue"/>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4802" w:type="dxa"/>
            <w:gridSpan w:val="6"/>
            <w:noWrap w:val="0"/>
            <w:vAlign w:val="center"/>
          </w:tcPr>
          <w:p>
            <w:pPr>
              <w:spacing w:line="300" w:lineRule="exact"/>
              <w:jc w:val="center"/>
              <w:rPr>
                <w:rFonts w:hint="eastAsia" w:eastAsia="楷体_GB2312"/>
                <w:b/>
                <w:sz w:val="21"/>
                <w:szCs w:val="21"/>
              </w:rPr>
            </w:pPr>
            <w:r>
              <w:rPr>
                <w:rFonts w:hint="eastAsia" w:eastAsia="楷体_GB2312"/>
                <w:b/>
                <w:sz w:val="21"/>
                <w:szCs w:val="21"/>
              </w:rPr>
              <w:t>保留审批事项（5 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22</w:t>
            </w:r>
          </w:p>
        </w:tc>
        <w:tc>
          <w:tcPr>
            <w:tcW w:w="2369" w:type="dxa"/>
            <w:noWrap w:val="0"/>
            <w:vAlign w:val="center"/>
          </w:tcPr>
          <w:p>
            <w:pPr>
              <w:kinsoku w:val="0"/>
              <w:autoSpaceDE w:val="0"/>
              <w:autoSpaceDN w:val="0"/>
              <w:adjustRightInd w:val="0"/>
              <w:spacing w:line="300" w:lineRule="exact"/>
              <w:ind w:left="21"/>
              <w:textAlignment w:val="baseline"/>
              <w:rPr>
                <w:rFonts w:cs="Arial"/>
                <w:color w:val="000000"/>
                <w:sz w:val="21"/>
                <w:szCs w:val="21"/>
              </w:rPr>
            </w:pPr>
            <w:r>
              <w:rPr>
                <w:rFonts w:hint="eastAsia" w:hAnsi="宋体"/>
                <w:sz w:val="21"/>
                <w:szCs w:val="21"/>
              </w:rPr>
              <w:t>企业投资项目备案</w:t>
            </w:r>
          </w:p>
        </w:tc>
        <w:tc>
          <w:tcPr>
            <w:tcW w:w="6637" w:type="dxa"/>
            <w:noWrap w:val="0"/>
            <w:vAlign w:val="center"/>
          </w:tcPr>
          <w:p>
            <w:pPr>
              <w:kinsoku w:val="0"/>
              <w:autoSpaceDE w:val="0"/>
              <w:autoSpaceDN w:val="0"/>
              <w:adjustRightInd w:val="0"/>
              <w:spacing w:line="300" w:lineRule="exact"/>
              <w:ind w:left="22"/>
              <w:textAlignment w:val="baseline"/>
              <w:rPr>
                <w:rFonts w:cs="Arial"/>
                <w:color w:val="000000"/>
                <w:sz w:val="21"/>
                <w:szCs w:val="21"/>
              </w:rPr>
            </w:pPr>
            <w:r>
              <w:rPr>
                <w:rFonts w:hint="eastAsia" w:hAnsi="宋体"/>
                <w:sz w:val="21"/>
                <w:szCs w:val="21"/>
              </w:rPr>
              <w:t>依托在线平台实行告知性备案。</w:t>
            </w:r>
          </w:p>
        </w:tc>
        <w:tc>
          <w:tcPr>
            <w:tcW w:w="1738" w:type="dxa"/>
            <w:noWrap w:val="0"/>
            <w:vAlign w:val="center"/>
          </w:tcPr>
          <w:p>
            <w:pPr>
              <w:kinsoku w:val="0"/>
              <w:autoSpaceDE w:val="0"/>
              <w:autoSpaceDN w:val="0"/>
              <w:adjustRightInd w:val="0"/>
              <w:spacing w:line="300" w:lineRule="exact"/>
              <w:ind w:left="24" w:right="37"/>
              <w:jc w:val="center"/>
              <w:textAlignment w:val="baseline"/>
              <w:rPr>
                <w:rFonts w:cs="Arial"/>
                <w:color w:val="000000"/>
                <w:sz w:val="21"/>
                <w:szCs w:val="21"/>
              </w:rPr>
            </w:pPr>
            <w:r>
              <w:rPr>
                <w:rFonts w:hint="eastAsia" w:hAnsi="宋体"/>
                <w:sz w:val="21"/>
                <w:szCs w:val="21"/>
              </w:rPr>
              <w:t>发展改革部门</w:t>
            </w:r>
          </w:p>
        </w:tc>
        <w:tc>
          <w:tcPr>
            <w:tcW w:w="1580" w:type="dxa"/>
            <w:noWrap w:val="0"/>
            <w:vAlign w:val="center"/>
          </w:tcPr>
          <w:p>
            <w:pPr>
              <w:spacing w:line="300" w:lineRule="exact"/>
              <w:jc w:val="center"/>
              <w:rPr>
                <w:rFonts w:hint="eastAsia"/>
                <w:sz w:val="21"/>
                <w:szCs w:val="21"/>
              </w:rPr>
            </w:pPr>
            <w:r>
              <w:rPr>
                <w:rFonts w:hint="eastAsia"/>
                <w:sz w:val="21"/>
                <w:szCs w:val="21"/>
              </w:rPr>
              <w:t xml:space="preserve">5 </w:t>
            </w:r>
            <w:r>
              <w:rPr>
                <w:rFonts w:hint="eastAsia" w:hAnsi="宋体"/>
                <w:sz w:val="21"/>
                <w:szCs w:val="21"/>
              </w:rPr>
              <w:t>个工</w:t>
            </w:r>
            <w:r>
              <w:rPr>
                <w:rFonts w:hint="eastAsia"/>
                <w:sz w:val="21"/>
                <w:szCs w:val="21"/>
              </w:rPr>
              <w:t xml:space="preserve"> </w:t>
            </w:r>
            <w:r>
              <w:rPr>
                <w:rFonts w:hint="eastAsia" w:hAnsi="宋体"/>
                <w:sz w:val="21"/>
                <w:szCs w:val="21"/>
              </w:rPr>
              <w:t>作日</w:t>
            </w: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23</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建设用地规划许可证核发</w:t>
            </w:r>
          </w:p>
        </w:tc>
        <w:tc>
          <w:tcPr>
            <w:tcW w:w="6637"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签订土地出让合同时同步核发建设用地规划许可证。</w:t>
            </w:r>
          </w:p>
        </w:tc>
        <w:tc>
          <w:tcPr>
            <w:tcW w:w="1738" w:type="dxa"/>
            <w:noWrap w:val="0"/>
            <w:vAlign w:val="center"/>
          </w:tcPr>
          <w:p>
            <w:pPr>
              <w:kinsoku w:val="0"/>
              <w:autoSpaceDE w:val="0"/>
              <w:autoSpaceDN w:val="0"/>
              <w:adjustRightInd w:val="0"/>
              <w:spacing w:line="300" w:lineRule="exact"/>
              <w:ind w:left="24" w:right="37" w:firstLine="30"/>
              <w:jc w:val="center"/>
              <w:textAlignment w:val="baseline"/>
              <w:rPr>
                <w:rFonts w:cs="Arial"/>
                <w:color w:val="000000"/>
                <w:sz w:val="21"/>
                <w:szCs w:val="21"/>
              </w:rPr>
            </w:pPr>
            <w:r>
              <w:rPr>
                <w:rFonts w:hint="eastAsia" w:hAnsi="宋体"/>
                <w:sz w:val="21"/>
                <w:szCs w:val="21"/>
              </w:rPr>
              <w:t>自然资源部门</w:t>
            </w:r>
          </w:p>
        </w:tc>
        <w:tc>
          <w:tcPr>
            <w:tcW w:w="1580" w:type="dxa"/>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24</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建设工程规划类许可证核发</w:t>
            </w:r>
          </w:p>
        </w:tc>
        <w:tc>
          <w:tcPr>
            <w:tcW w:w="6637" w:type="dxa"/>
            <w:noWrap w:val="0"/>
            <w:vAlign w:val="center"/>
          </w:tcPr>
          <w:p>
            <w:pPr>
              <w:kinsoku w:val="0"/>
              <w:autoSpaceDE w:val="0"/>
              <w:autoSpaceDN w:val="0"/>
              <w:adjustRightInd w:val="0"/>
              <w:spacing w:line="300" w:lineRule="exact"/>
              <w:ind w:left="20" w:right="31" w:firstLine="2"/>
              <w:textAlignment w:val="baseline"/>
              <w:rPr>
                <w:rFonts w:cs="Arial"/>
                <w:color w:val="000000"/>
                <w:sz w:val="21"/>
                <w:szCs w:val="21"/>
              </w:rPr>
            </w:pPr>
            <w:r>
              <w:rPr>
                <w:rFonts w:hint="eastAsia" w:hAnsi="宋体"/>
                <w:sz w:val="21"/>
                <w:szCs w:val="21"/>
              </w:rPr>
              <w:t>建设工程规划许可证核发与建设工程设计方案审查同步进行，实行建设工程设计方案联合审查。</w:t>
            </w:r>
          </w:p>
        </w:tc>
        <w:tc>
          <w:tcPr>
            <w:tcW w:w="1738" w:type="dxa"/>
            <w:noWrap w:val="0"/>
            <w:vAlign w:val="center"/>
          </w:tcPr>
          <w:p>
            <w:pPr>
              <w:kinsoku w:val="0"/>
              <w:autoSpaceDE w:val="0"/>
              <w:autoSpaceDN w:val="0"/>
              <w:adjustRightInd w:val="0"/>
              <w:spacing w:line="300" w:lineRule="exact"/>
              <w:ind w:left="24" w:right="37" w:firstLine="30"/>
              <w:jc w:val="center"/>
              <w:textAlignment w:val="baseline"/>
              <w:rPr>
                <w:rFonts w:cs="Arial"/>
                <w:color w:val="000000"/>
                <w:sz w:val="21"/>
                <w:szCs w:val="21"/>
              </w:rPr>
            </w:pPr>
            <w:r>
              <w:rPr>
                <w:rFonts w:hint="eastAsia" w:hAnsi="宋体"/>
                <w:sz w:val="21"/>
                <w:szCs w:val="21"/>
              </w:rPr>
              <w:t>自然资源部门</w:t>
            </w:r>
          </w:p>
        </w:tc>
        <w:tc>
          <w:tcPr>
            <w:tcW w:w="1580" w:type="dxa"/>
            <w:noWrap w:val="0"/>
            <w:vAlign w:val="center"/>
          </w:tcPr>
          <w:p>
            <w:pPr>
              <w:spacing w:line="300" w:lineRule="exact"/>
              <w:jc w:val="center"/>
              <w:rPr>
                <w:rFonts w:hint="eastAsia"/>
                <w:sz w:val="21"/>
                <w:szCs w:val="21"/>
              </w:rPr>
            </w:pPr>
            <w:r>
              <w:rPr>
                <w:rFonts w:hint="eastAsia"/>
                <w:sz w:val="21"/>
                <w:szCs w:val="21"/>
              </w:rPr>
              <w:t xml:space="preserve">20 </w:t>
            </w:r>
            <w:r>
              <w:rPr>
                <w:rFonts w:hint="eastAsia" w:hAnsi="宋体"/>
                <w:sz w:val="21"/>
                <w:szCs w:val="21"/>
              </w:rPr>
              <w:t>个工</w:t>
            </w:r>
            <w:r>
              <w:rPr>
                <w:rFonts w:hint="eastAsia"/>
                <w:sz w:val="21"/>
                <w:szCs w:val="21"/>
              </w:rPr>
              <w:t xml:space="preserve"> </w:t>
            </w:r>
            <w:r>
              <w:rPr>
                <w:rFonts w:hint="eastAsia" w:hAnsi="宋体"/>
                <w:sz w:val="21"/>
                <w:szCs w:val="21"/>
              </w:rPr>
              <w:t>作日</w:t>
            </w: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25</w:t>
            </w:r>
          </w:p>
        </w:tc>
        <w:tc>
          <w:tcPr>
            <w:tcW w:w="2369" w:type="dxa"/>
            <w:noWrap w:val="0"/>
            <w:vAlign w:val="center"/>
          </w:tcPr>
          <w:p>
            <w:pPr>
              <w:kinsoku w:val="0"/>
              <w:autoSpaceDE w:val="0"/>
              <w:autoSpaceDN w:val="0"/>
              <w:adjustRightInd w:val="0"/>
              <w:spacing w:line="300" w:lineRule="exact"/>
              <w:ind w:left="19"/>
              <w:textAlignment w:val="baseline"/>
              <w:rPr>
                <w:rFonts w:cs="Arial"/>
                <w:color w:val="000000"/>
                <w:sz w:val="21"/>
                <w:szCs w:val="21"/>
              </w:rPr>
            </w:pPr>
            <w:r>
              <w:rPr>
                <w:rFonts w:hint="eastAsia" w:hAnsi="宋体"/>
                <w:sz w:val="21"/>
                <w:szCs w:val="21"/>
              </w:rPr>
              <w:t>涉及国家安全事项的建设项目审批</w:t>
            </w:r>
          </w:p>
        </w:tc>
        <w:tc>
          <w:tcPr>
            <w:tcW w:w="6637" w:type="dxa"/>
            <w:noWrap w:val="0"/>
            <w:vAlign w:val="center"/>
          </w:tcPr>
          <w:p>
            <w:pPr>
              <w:kinsoku w:val="0"/>
              <w:autoSpaceDE w:val="0"/>
              <w:autoSpaceDN w:val="0"/>
              <w:adjustRightInd w:val="0"/>
              <w:spacing w:line="300" w:lineRule="exact"/>
              <w:ind w:left="21"/>
              <w:textAlignment w:val="baseline"/>
              <w:rPr>
                <w:rFonts w:cs="Arial"/>
                <w:color w:val="000000"/>
                <w:sz w:val="21"/>
                <w:szCs w:val="21"/>
              </w:rPr>
            </w:pPr>
            <w:r>
              <w:rPr>
                <w:rFonts w:hint="eastAsia" w:hAnsi="宋体"/>
                <w:sz w:val="21"/>
                <w:szCs w:val="21"/>
              </w:rPr>
              <w:t>严格按照适用范围办理。</w:t>
            </w:r>
          </w:p>
        </w:tc>
        <w:tc>
          <w:tcPr>
            <w:tcW w:w="1738" w:type="dxa"/>
            <w:noWrap w:val="0"/>
            <w:vAlign w:val="center"/>
          </w:tcPr>
          <w:p>
            <w:pPr>
              <w:kinsoku w:val="0"/>
              <w:autoSpaceDE w:val="0"/>
              <w:autoSpaceDN w:val="0"/>
              <w:adjustRightInd w:val="0"/>
              <w:spacing w:line="300" w:lineRule="exact"/>
              <w:ind w:left="24" w:right="37" w:firstLine="17"/>
              <w:jc w:val="center"/>
              <w:textAlignment w:val="baseline"/>
              <w:rPr>
                <w:rFonts w:cs="Arial"/>
                <w:color w:val="000000"/>
                <w:sz w:val="21"/>
                <w:szCs w:val="21"/>
              </w:rPr>
            </w:pPr>
            <w:r>
              <w:rPr>
                <w:rFonts w:hint="eastAsia" w:hAnsi="宋体"/>
                <w:sz w:val="21"/>
                <w:szCs w:val="21"/>
              </w:rPr>
              <w:t>国家安全部门</w:t>
            </w:r>
          </w:p>
        </w:tc>
        <w:tc>
          <w:tcPr>
            <w:tcW w:w="1580" w:type="dxa"/>
            <w:noWrap w:val="0"/>
            <w:vAlign w:val="center"/>
          </w:tcPr>
          <w:p>
            <w:pPr>
              <w:spacing w:line="300" w:lineRule="exact"/>
              <w:jc w:val="center"/>
              <w:rPr>
                <w:rFonts w:hint="eastAsia"/>
                <w:sz w:val="21"/>
                <w:szCs w:val="21"/>
              </w:rPr>
            </w:pPr>
          </w:p>
        </w:tc>
        <w:tc>
          <w:tcPr>
            <w:tcW w:w="1896" w:type="dxa"/>
            <w:noWrap w:val="0"/>
            <w:vAlign w:val="center"/>
          </w:tcPr>
          <w:p>
            <w:pPr>
              <w:spacing w:line="300" w:lineRule="exact"/>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582" w:type="dxa"/>
            <w:noWrap w:val="0"/>
            <w:vAlign w:val="center"/>
          </w:tcPr>
          <w:p>
            <w:pPr>
              <w:spacing w:line="300" w:lineRule="exact"/>
              <w:jc w:val="center"/>
              <w:rPr>
                <w:rFonts w:hint="eastAsia"/>
                <w:sz w:val="21"/>
                <w:szCs w:val="21"/>
              </w:rPr>
            </w:pPr>
            <w:r>
              <w:rPr>
                <w:rFonts w:hint="eastAsia"/>
                <w:sz w:val="21"/>
                <w:szCs w:val="21"/>
              </w:rPr>
              <w:t>26</w:t>
            </w:r>
          </w:p>
        </w:tc>
        <w:tc>
          <w:tcPr>
            <w:tcW w:w="2369" w:type="dxa"/>
            <w:noWrap w:val="0"/>
            <w:vAlign w:val="center"/>
          </w:tcPr>
          <w:p>
            <w:pPr>
              <w:kinsoku w:val="0"/>
              <w:autoSpaceDE w:val="0"/>
              <w:autoSpaceDN w:val="0"/>
              <w:adjustRightInd w:val="0"/>
              <w:spacing w:line="300" w:lineRule="exact"/>
              <w:ind w:left="20"/>
              <w:textAlignment w:val="baseline"/>
              <w:rPr>
                <w:rFonts w:cs="Arial"/>
                <w:color w:val="000000"/>
                <w:sz w:val="21"/>
                <w:szCs w:val="21"/>
              </w:rPr>
            </w:pPr>
            <w:r>
              <w:rPr>
                <w:rFonts w:hint="eastAsia" w:hAnsi="宋体"/>
                <w:sz w:val="21"/>
                <w:szCs w:val="21"/>
              </w:rPr>
              <w:t>建筑工程施工许可证核发</w:t>
            </w:r>
          </w:p>
        </w:tc>
        <w:tc>
          <w:tcPr>
            <w:tcW w:w="6637" w:type="dxa"/>
            <w:noWrap w:val="0"/>
            <w:vAlign w:val="center"/>
          </w:tcPr>
          <w:p>
            <w:pPr>
              <w:kinsoku w:val="0"/>
              <w:autoSpaceDE w:val="0"/>
              <w:autoSpaceDN w:val="0"/>
              <w:adjustRightInd w:val="0"/>
              <w:spacing w:line="300" w:lineRule="exact"/>
              <w:ind w:left="22"/>
              <w:textAlignment w:val="baseline"/>
              <w:rPr>
                <w:rFonts w:cs="Arial"/>
                <w:color w:val="000000"/>
                <w:sz w:val="21"/>
                <w:szCs w:val="21"/>
              </w:rPr>
            </w:pPr>
            <w:r>
              <w:rPr>
                <w:rFonts w:hint="eastAsia" w:hAnsi="宋体"/>
                <w:sz w:val="21"/>
                <w:szCs w:val="21"/>
              </w:rPr>
              <w:t>工程质量安全监督手续与施工许可证合并办理。</w:t>
            </w:r>
          </w:p>
        </w:tc>
        <w:tc>
          <w:tcPr>
            <w:tcW w:w="1738" w:type="dxa"/>
            <w:noWrap w:val="0"/>
            <w:vAlign w:val="center"/>
          </w:tcPr>
          <w:p>
            <w:pPr>
              <w:kinsoku w:val="0"/>
              <w:autoSpaceDE w:val="0"/>
              <w:autoSpaceDN w:val="0"/>
              <w:adjustRightInd w:val="0"/>
              <w:spacing w:line="300" w:lineRule="exact"/>
              <w:ind w:left="23" w:right="37" w:hanging="3"/>
              <w:jc w:val="center"/>
              <w:textAlignment w:val="baseline"/>
              <w:rPr>
                <w:rFonts w:hint="eastAsia"/>
                <w:sz w:val="21"/>
                <w:szCs w:val="21"/>
              </w:rPr>
            </w:pPr>
            <w:r>
              <w:rPr>
                <w:rFonts w:hint="eastAsia" w:hAnsi="宋体"/>
                <w:sz w:val="21"/>
                <w:szCs w:val="21"/>
              </w:rPr>
              <w:t>住房城乡建设</w:t>
            </w:r>
          </w:p>
          <w:p>
            <w:pPr>
              <w:kinsoku w:val="0"/>
              <w:autoSpaceDE w:val="0"/>
              <w:autoSpaceDN w:val="0"/>
              <w:adjustRightInd w:val="0"/>
              <w:spacing w:line="300" w:lineRule="exact"/>
              <w:ind w:left="23" w:right="37" w:hanging="3"/>
              <w:jc w:val="center"/>
              <w:textAlignment w:val="baseline"/>
              <w:rPr>
                <w:rFonts w:cs="Arial"/>
                <w:color w:val="000000"/>
                <w:sz w:val="21"/>
                <w:szCs w:val="21"/>
              </w:rPr>
            </w:pPr>
            <w:r>
              <w:rPr>
                <w:rFonts w:hint="eastAsia" w:hAnsi="宋体"/>
                <w:sz w:val="21"/>
                <w:szCs w:val="21"/>
              </w:rPr>
              <w:t>部门</w:t>
            </w:r>
          </w:p>
        </w:tc>
        <w:tc>
          <w:tcPr>
            <w:tcW w:w="1580" w:type="dxa"/>
            <w:noWrap w:val="0"/>
            <w:vAlign w:val="center"/>
          </w:tcPr>
          <w:p>
            <w:pPr>
              <w:spacing w:line="300" w:lineRule="exact"/>
              <w:jc w:val="center"/>
              <w:rPr>
                <w:rFonts w:hint="eastAsia"/>
                <w:sz w:val="21"/>
                <w:szCs w:val="21"/>
              </w:rPr>
            </w:pPr>
            <w:r>
              <w:rPr>
                <w:rFonts w:hint="eastAsia"/>
                <w:sz w:val="21"/>
                <w:szCs w:val="21"/>
              </w:rPr>
              <w:t xml:space="preserve">5 </w:t>
            </w:r>
            <w:r>
              <w:rPr>
                <w:rFonts w:hint="eastAsia" w:hAnsi="宋体"/>
                <w:sz w:val="21"/>
                <w:szCs w:val="21"/>
              </w:rPr>
              <w:t>个工</w:t>
            </w:r>
            <w:r>
              <w:rPr>
                <w:rFonts w:hint="eastAsia"/>
                <w:sz w:val="21"/>
                <w:szCs w:val="21"/>
              </w:rPr>
              <w:t xml:space="preserve"> </w:t>
            </w:r>
            <w:r>
              <w:rPr>
                <w:rFonts w:hint="eastAsia" w:hAnsi="宋体"/>
                <w:sz w:val="21"/>
                <w:szCs w:val="21"/>
              </w:rPr>
              <w:t>作日</w:t>
            </w:r>
          </w:p>
        </w:tc>
        <w:tc>
          <w:tcPr>
            <w:tcW w:w="1896" w:type="dxa"/>
            <w:noWrap w:val="0"/>
            <w:vAlign w:val="center"/>
          </w:tcPr>
          <w:p>
            <w:pPr>
              <w:spacing w:line="300" w:lineRule="exact"/>
              <w:jc w:val="center"/>
              <w:rPr>
                <w:rFonts w:hint="eastAsia"/>
                <w:sz w:val="21"/>
                <w:szCs w:val="21"/>
              </w:rPr>
            </w:pPr>
          </w:p>
        </w:tc>
      </w:tr>
    </w:tbl>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spacing w:line="500" w:lineRule="exact"/>
        <w:rPr>
          <w:rFonts w:hint="eastAsia" w:ascii="黑体" w:hAnsi="黑体" w:eastAsia="黑体"/>
        </w:rPr>
      </w:pPr>
      <w:r>
        <w:rPr>
          <w:rFonts w:hint="eastAsia" w:ascii="黑体" w:hAnsi="黑体" w:eastAsia="黑体"/>
        </w:rPr>
        <w:t>附件2</w:t>
      </w:r>
    </w:p>
    <w:p>
      <w:pPr>
        <w:spacing w:line="500" w:lineRule="exact"/>
        <w:jc w:val="center"/>
        <w:rPr>
          <w:rFonts w:ascii="方正小标宋简体" w:eastAsia="方正小标宋简体"/>
          <w:sz w:val="44"/>
          <w:szCs w:val="44"/>
        </w:rPr>
      </w:pPr>
      <w:r>
        <w:rPr>
          <w:rFonts w:hint="eastAsia" w:ascii="方正小标宋简体" w:eastAsia="方正小标宋简体"/>
          <w:sz w:val="44"/>
          <w:szCs w:val="44"/>
        </w:rPr>
        <w:t>建安区一般性企业投资项目承诺制改革操作流程图</w:t>
      </w:r>
    </w:p>
    <w:p>
      <w:pPr>
        <w:rPr>
          <w:rFonts w:hint="eastAsia"/>
        </w:rPr>
      </w:pPr>
      <w:r>
        <w:rPr>
          <w:rFonts w:hint="eastAsia"/>
        </w:rPr>
        <w:drawing>
          <wp:inline distT="0" distB="0" distL="114300" distR="114300">
            <wp:extent cx="9262745" cy="5147310"/>
            <wp:effectExtent l="0" t="0" r="14605" b="15240"/>
            <wp:docPr id="2" name="图片 1" descr="修改附件2：建安区一般性企业投资项目承诺制改革操作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修改附件2：建安区一般性企业投资项目承诺制改革操作流程图"/>
                    <pic:cNvPicPr>
                      <a:picLocks noChangeAspect="1"/>
                    </pic:cNvPicPr>
                  </pic:nvPicPr>
                  <pic:blipFill>
                    <a:blip r:embed="rId7"/>
                    <a:srcRect l="8443" t="18575" r="7051" b="16556"/>
                    <a:stretch>
                      <a:fillRect/>
                    </a:stretch>
                  </pic:blipFill>
                  <pic:spPr>
                    <a:xfrm>
                      <a:off x="0" y="0"/>
                      <a:ext cx="9262745" cy="5147310"/>
                    </a:xfrm>
                    <a:prstGeom prst="rect">
                      <a:avLst/>
                    </a:prstGeom>
                    <a:noFill/>
                    <a:ln>
                      <a:noFill/>
                    </a:ln>
                  </pic:spPr>
                </pic:pic>
              </a:graphicData>
            </a:graphic>
          </wp:inline>
        </w:drawing>
      </w:r>
    </w:p>
    <w:p>
      <w:pPr>
        <w:spacing w:line="500" w:lineRule="exact"/>
        <w:rPr>
          <w:rFonts w:hint="eastAsia" w:ascii="黑体" w:hAnsi="黑体" w:eastAsia="黑体" w:cs="黑体"/>
        </w:rPr>
      </w:pPr>
      <w:r>
        <w:rPr>
          <w:rFonts w:hint="eastAsia" w:ascii="黑体" w:hAnsi="黑体" w:eastAsia="黑体" w:cs="黑体"/>
        </w:rPr>
        <w:t>附件3</w:t>
      </w:r>
    </w:p>
    <w:p>
      <w:pPr>
        <w:spacing w:line="500" w:lineRule="exact"/>
        <w:jc w:val="center"/>
        <w:rPr>
          <w:rFonts w:ascii="方正小标宋简体" w:eastAsia="方正小标宋简体"/>
          <w:sz w:val="44"/>
          <w:szCs w:val="44"/>
        </w:rPr>
      </w:pPr>
      <w:r>
        <w:rPr>
          <w:rFonts w:hint="eastAsia" w:ascii="方正小标宋简体" w:eastAsia="方正小标宋简体"/>
          <w:sz w:val="44"/>
          <w:szCs w:val="44"/>
        </w:rPr>
        <w:t>建安区先进制造业开发区一般性企业投资项目承诺制改革操作流程图</w:t>
      </w:r>
    </w:p>
    <w:p>
      <w:pPr>
        <w:ind w:left="-208" w:leftChars="-66"/>
        <w:rPr>
          <w:rFonts w:hint="eastAsia"/>
        </w:rPr>
        <w:sectPr>
          <w:footerReference r:id="rId5" w:type="default"/>
          <w:pgSz w:w="16838" w:h="11906" w:orient="landscape"/>
          <w:pgMar w:top="1134" w:right="1134" w:bottom="1134" w:left="1134" w:header="1134" w:footer="1134" w:gutter="0"/>
          <w:cols w:space="720" w:num="1"/>
          <w:docGrid w:type="linesAndChars" w:linePitch="579" w:charSpace="-849"/>
        </w:sectPr>
      </w:pPr>
      <w:r>
        <w:rPr>
          <w:rFonts w:hint="eastAsia"/>
        </w:rPr>
        <w:drawing>
          <wp:inline distT="0" distB="0" distL="114300" distR="114300">
            <wp:extent cx="9390380" cy="5153660"/>
            <wp:effectExtent l="0" t="0" r="1270" b="8890"/>
            <wp:docPr id="1" name="图片 2" descr="修改附件3：建安区先进制造业开发区一般性企业投资项目承诺制改革操作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修改附件3：建安区先进制造业开发区一般性企业投资项目承诺制改革操作流程图"/>
                    <pic:cNvPicPr>
                      <a:picLocks noChangeAspect="1"/>
                    </pic:cNvPicPr>
                  </pic:nvPicPr>
                  <pic:blipFill>
                    <a:blip r:embed="rId8"/>
                    <a:srcRect l="10449" t="18811" r="4634" b="13757"/>
                    <a:stretch>
                      <a:fillRect/>
                    </a:stretch>
                  </pic:blipFill>
                  <pic:spPr>
                    <a:xfrm>
                      <a:off x="0" y="0"/>
                      <a:ext cx="9390380" cy="5153660"/>
                    </a:xfrm>
                    <a:prstGeom prst="rect">
                      <a:avLst/>
                    </a:prstGeom>
                    <a:noFill/>
                    <a:ln>
                      <a:noFill/>
                    </a:ln>
                  </pic:spPr>
                </pic:pic>
              </a:graphicData>
            </a:graphic>
          </wp:inline>
        </w:drawing>
      </w:r>
    </w:p>
    <w:p>
      <w:pPr>
        <w:rPr>
          <w:rFonts w:hint="eastAsia"/>
        </w:rPr>
      </w:pPr>
    </w:p>
    <w:p>
      <w:pPr>
        <w:rPr>
          <w:rFonts w:hint="eastAsia"/>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framePr w:wrap="around" w:vAnchor="text" w:hAnchor="margin" w:xAlign="outside" w:y="1"/>
      <w:rPr>
        <w:rStyle w:val="8"/>
        <w:rFonts w:ascii="仿宋_GB2312"/>
        <w:sz w:val="28"/>
        <w:szCs w:val="28"/>
      </w:rPr>
    </w:pPr>
    <w:r>
      <w:rPr>
        <w:rStyle w:val="8"/>
        <w:rFonts w:ascii="仿宋_GB2312" w:hAnsi="黑体" w:cs="仿宋_GB2312"/>
        <w:sz w:val="28"/>
        <w:szCs w:val="28"/>
      </w:rPr>
      <w:t xml:space="preserve">— </w:t>
    </w:r>
    <w:r>
      <w:rPr>
        <w:sz w:val="28"/>
        <w:szCs w:val="28"/>
      </w:rPr>
      <w:fldChar w:fldCharType="begin"/>
    </w:r>
    <w:r>
      <w:rPr>
        <w:rStyle w:val="8"/>
        <w:sz w:val="28"/>
        <w:szCs w:val="28"/>
      </w:rPr>
      <w:instrText xml:space="preserve">PAGE  </w:instrText>
    </w:r>
    <w:r>
      <w:rPr>
        <w:sz w:val="28"/>
        <w:szCs w:val="28"/>
      </w:rPr>
      <w:fldChar w:fldCharType="separate"/>
    </w:r>
    <w:r>
      <w:rPr>
        <w:rStyle w:val="8"/>
        <w:sz w:val="28"/>
        <w:szCs w:val="28"/>
      </w:rPr>
      <w:t>10</w:t>
    </w:r>
    <w:r>
      <w:rPr>
        <w:sz w:val="28"/>
        <w:szCs w:val="28"/>
      </w:rPr>
      <w:fldChar w:fldCharType="end"/>
    </w:r>
    <w:r>
      <w:rPr>
        <w:rStyle w:val="8"/>
        <w:rFonts w:ascii="仿宋_GB2312" w:cs="仿宋_GB2312"/>
        <w:sz w:val="28"/>
        <w:szCs w:val="28"/>
      </w:rPr>
      <w:t xml:space="preserve"> </w:t>
    </w:r>
    <w:r>
      <w:rPr>
        <w:rStyle w:val="8"/>
        <w:rFonts w:hint="eastAsia" w:ascii="仿宋_GB2312"/>
        <w:sz w:val="28"/>
        <w:szCs w:val="28"/>
      </w:rPr>
      <w:t>—</w:t>
    </w:r>
  </w:p>
  <w:p>
    <w:pPr>
      <w:pStyle w:val="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framePr w:wrap="around" w:vAnchor="text" w:hAnchor="margin" w:y="1"/>
      <w:rPr>
        <w:rStyle w:val="8"/>
      </w:rPr>
    </w:pPr>
    <w:r>
      <w:fldChar w:fldCharType="begin"/>
    </w:r>
    <w:r>
      <w:rPr>
        <w:rStyle w:val="8"/>
      </w:rPr>
      <w:instrText xml:space="preserve">PAGE  </w:instrText>
    </w:r>
    <w:r>
      <w:fldChar w:fldCharType="end"/>
    </w:r>
  </w:p>
  <w:p>
    <w:pPr>
      <w:pStyle w:val="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framePr w:wrap="around" w:vAnchor="text" w:hAnchor="margin" w:y="1"/>
      <w:rPr>
        <w:rStyle w:val="8"/>
        <w:rFonts w:ascii="仿宋_GB2312"/>
        <w:sz w:val="28"/>
        <w:szCs w:val="28"/>
      </w:rPr>
    </w:pPr>
    <w:r>
      <w:rPr>
        <w:rStyle w:val="8"/>
        <w:rFonts w:ascii="仿宋_GB2312" w:hAnsi="黑体" w:cs="仿宋_GB2312"/>
        <w:sz w:val="28"/>
        <w:szCs w:val="28"/>
      </w:rPr>
      <w:t xml:space="preserve">— </w:t>
    </w:r>
    <w:r>
      <w:rPr>
        <w:sz w:val="28"/>
        <w:szCs w:val="28"/>
      </w:rPr>
      <w:fldChar w:fldCharType="begin"/>
    </w:r>
    <w:r>
      <w:rPr>
        <w:rStyle w:val="8"/>
        <w:sz w:val="28"/>
        <w:szCs w:val="28"/>
      </w:rPr>
      <w:instrText xml:space="preserve">PAGE  </w:instrText>
    </w:r>
    <w:r>
      <w:rPr>
        <w:sz w:val="28"/>
        <w:szCs w:val="28"/>
      </w:rPr>
      <w:fldChar w:fldCharType="separate"/>
    </w:r>
    <w:r>
      <w:rPr>
        <w:rStyle w:val="8"/>
        <w:sz w:val="28"/>
        <w:szCs w:val="28"/>
      </w:rPr>
      <w:t>11</w:t>
    </w:r>
    <w:r>
      <w:rPr>
        <w:sz w:val="28"/>
        <w:szCs w:val="28"/>
      </w:rPr>
      <w:fldChar w:fldCharType="end"/>
    </w:r>
    <w:r>
      <w:rPr>
        <w:rStyle w:val="8"/>
        <w:rFonts w:ascii="仿宋_GB2312" w:cs="仿宋_GB2312"/>
        <w:sz w:val="28"/>
        <w:szCs w:val="28"/>
      </w:rPr>
      <w:t xml:space="preserve"> </w:t>
    </w:r>
    <w:r>
      <w:rPr>
        <w:rStyle w:val="8"/>
        <w:rFonts w:hint="eastAsia" w:ascii="仿宋_GB2312"/>
        <w:sz w:val="28"/>
        <w:szCs w:val="28"/>
      </w:rPr>
      <w:t>—</w:t>
    </w:r>
  </w:p>
  <w:p>
    <w:pPr>
      <w:pStyle w:val="4"/>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DA216F0"/>
    <w:multiLevelType w:val="multilevel"/>
    <w:tmpl w:val="1DA216F0"/>
    <w:lvl w:ilvl="0" w:tentative="0">
      <w:start w:val="1"/>
      <w:numFmt w:val="chineseCountingThousand"/>
      <w:pStyle w:val="3"/>
      <w:lvlText w:val="第%1章　"/>
      <w:lvlJc w:val="left"/>
      <w:pPr>
        <w:tabs>
          <w:tab w:val="left" w:pos="1440"/>
        </w:tabs>
        <w:ind w:left="720" w:hanging="720"/>
      </w:pPr>
      <w:rPr>
        <w:rFonts w:hint="eastAsia" w:cs="Times New Roman"/>
        <w:sz w:val="32"/>
      </w:rPr>
    </w:lvl>
    <w:lvl w:ilvl="1" w:tentative="0">
      <w:start w:val="1"/>
      <w:numFmt w:val="lowerRoman"/>
      <w:lvlText w:val="(%2)"/>
      <w:lvlJc w:val="left"/>
      <w:pPr>
        <w:tabs>
          <w:tab w:val="left" w:pos="861"/>
        </w:tabs>
        <w:ind w:left="861" w:hanging="720"/>
      </w:pPr>
      <w:rPr>
        <w:rFonts w:hint="eastAsia" w:cs="Times New Roman"/>
      </w:rPr>
    </w:lvl>
    <w:lvl w:ilvl="2" w:tentative="0">
      <w:start w:val="1"/>
      <w:numFmt w:val="lowerLetter"/>
      <w:lvlText w:val="(%3)"/>
      <w:lvlJc w:val="left"/>
      <w:pPr>
        <w:tabs>
          <w:tab w:val="left" w:pos="1335"/>
        </w:tabs>
        <w:ind w:left="1335" w:hanging="495"/>
      </w:pPr>
      <w:rPr>
        <w:rFonts w:hint="eastAsia"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llMTUyMWIzZjJmMjc2MGEzNTNjM2JlODBiZWM2ZTYifQ=="/>
  </w:docVars>
  <w:rsids>
    <w:rsidRoot w:val="5D2A5552"/>
    <w:rsid w:val="5D2A55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7">
    <w:name w:val="Default Paragraph Font"/>
    <w:semiHidden/>
    <w:qFormat/>
    <w:uiPriority w:val="0"/>
  </w:style>
  <w:style w:type="table" w:default="1" w:styleId="5">
    <w:name w:val="Normal Table"/>
    <w:semiHidden/>
    <w:uiPriority w:val="0"/>
    <w:tblPr>
      <w:tblCellMar>
        <w:top w:w="0" w:type="dxa"/>
        <w:left w:w="108" w:type="dxa"/>
        <w:bottom w:w="0" w:type="dxa"/>
        <w:right w:w="108" w:type="dxa"/>
      </w:tblCellMar>
    </w:tblPr>
  </w:style>
  <w:style w:type="paragraph" w:styleId="2">
    <w:name w:val="Body Text"/>
    <w:basedOn w:val="1"/>
    <w:next w:val="3"/>
    <w:unhideWhenUsed/>
    <w:qFormat/>
    <w:uiPriority w:val="99"/>
    <w:pPr>
      <w:spacing w:after="120"/>
    </w:pPr>
  </w:style>
  <w:style w:type="paragraph" w:styleId="3">
    <w:name w:val="Body Text 2"/>
    <w:basedOn w:val="1"/>
    <w:unhideWhenUsed/>
    <w:qFormat/>
    <w:uiPriority w:val="99"/>
    <w:pPr>
      <w:widowControl/>
      <w:numPr>
        <w:ilvl w:val="0"/>
        <w:numId w:val="1"/>
      </w:numPr>
      <w:spacing w:beforeLines="50" w:line="336" w:lineRule="auto"/>
      <w:ind w:left="0" w:firstLine="0"/>
    </w:pPr>
    <w:rPr>
      <w:rFonts w:ascii="Times New Roman" w:hAnsi="Times New Roman" w:eastAsia="黑体"/>
      <w:szCs w:val="20"/>
      <w:lang w:val="en-GB"/>
    </w:rPr>
  </w:style>
  <w:style w:type="paragraph" w:styleId="4">
    <w:name w:val="footer"/>
    <w:basedOn w:val="1"/>
    <w:semiHidden/>
    <w:qFormat/>
    <w:uiPriority w:val="99"/>
    <w:pPr>
      <w:tabs>
        <w:tab w:val="center" w:pos="4153"/>
        <w:tab w:val="right" w:pos="8306"/>
      </w:tabs>
      <w:snapToGrid w:val="0"/>
      <w:jc w:val="left"/>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page number"/>
    <w:basedOn w:val="7"/>
    <w:qFormat/>
    <w:uiPriority w:val="99"/>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6011</Words>
  <Characters>6053</Characters>
  <Lines>0</Lines>
  <Paragraphs>0</Paragraphs>
  <TotalTime>0</TotalTime>
  <ScaleCrop>false</ScaleCrop>
  <LinksUpToDate>false</LinksUpToDate>
  <CharactersWithSpaces>6123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2023-07-24T09:00:00Z</dcterms:created>
  <dc:creator>Administrator</dc:creator>
  <cp:lastModifiedBy>Administrator</cp:lastModifiedBy>
  <dcterms:modified xsi:type="dcterms:W3CDTF">2023-07-24T09:01:07Z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2F6C14C875C94C1FA07BD0FF618A129F_11</vt:lpwstr>
  </property>
</Properties>
</file>